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0E1A2B"/>
          <w:sz w:val="40"/>
          <w:szCs w:val="40"/>
        </w:rPr>
        <w:t xml:space="preserve">AI system owner nomination</w:t>
      </w:r>
    </w:p>
    <w:p>
      <w:pPr>
        <w:spacing w:after="240"/>
      </w:pPr>
      <w:r>
        <w:rPr>
          <w:i/>
          <w:iCs/>
          <w:color w:val="5C6B82"/>
          <w:sz w:val="21"/>
          <w:szCs w:val="21"/>
        </w:rPr>
        <w:t xml:space="preserve">Companion form to the ISO/IEC 27090 course at shahzadasghar.com: name an owner for each AI system before its assessment starts. Return by [date, within two weeks].</w:t>
      </w:r>
    </w:p>
    <w:p>
      <w:pPr>
        <w:pStyle w:val="Heading1"/>
      </w:pPr>
      <w:r>
        <w:t xml:space="preserve">Why this is needed</w:t>
      </w:r>
    </w:p>
    <w:p>
      <w:pPr>
        <w:spacing w:after="120"/>
      </w:pPr>
      <w:r>
        <w:t xml:space="preserve">ISO/IEC 27090:2026 places responsibility for an AI system's security with the organisation that deploys it. Every registered system needs a named business owner, technical owner and data owner before its threat and risk assessment can start. The three systems below are the ones already identified; replace or add systems as needed.</w:t>
      </w:r>
    </w:p>
    <w:p>
      <w:pPr>
        <w:pStyle w:val="Heading1"/>
      </w:pPr>
      <w:r>
        <w:t xml:space="preserve">Owner duties in brief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Business owner: accountable for the system's purpose, risk tier, acceptance and go-live decision.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Technical owner: responsible for the inventory record, integration security, logging and revalidation after change.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Data owner: responsible for the provenance, classification and integrity of training and retrieval data.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Security contact: the security function member who leads the Template 2 assessment for the system.</w:t>
      </w:r>
    </w:p>
    <w:p>
      <w:pPr>
        <w:pStyle w:val="Heading1"/>
      </w:pPr>
      <w:r>
        <w:t xml:space="preserve">Nominations</w:t>
      </w:r>
    </w:p>
    <w:p>
      <w:pPr>
        <w:pStyle w:val="Heading2"/>
      </w:pPr>
      <w:r>
        <w:t xml:space="preserve">AI-001: Recruitment screening model</w:t>
      </w:r>
    </w:p>
    <w:p>
      <w:pPr>
        <w:spacing w:after="120"/>
      </w:pPr>
      <w:r>
        <w:rPr>
          <w:i/>
          <w:iCs/>
          <w:color w:val="5C6B82"/>
        </w:rPr>
        <w:t xml:space="preserve">Predictive; candidate personal data; High tier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200"/>
        <w:gridCol w:w="2200"/>
        <w:gridCol w:w="2000"/>
        <w:gridCol w:w="1200"/>
      </w:tblGrid>
      <w:tr>
        <w:trPr>
          <w:tblHeader/>
        </w:trPr>
        <w:tc>
          <w:tcPr>
            <w:tcW w:type="dxa" w:w="20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Role</w:t>
            </w:r>
          </w:p>
        </w:tc>
        <w:tc>
          <w:tcPr>
            <w:tcW w:type="dxa" w:w="22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2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Title / unit</w:t>
            </w:r>
          </w:p>
        </w:tc>
        <w:tc>
          <w:tcPr>
            <w:tcW w:type="dxa" w:w="20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Email</w:t>
            </w:r>
          </w:p>
        </w:tc>
        <w:tc>
          <w:tcPr>
            <w:tcW w:type="dxa" w:w="12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Confirmed (initials, date)</w:t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Business owner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Technical owner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Data owner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Security contact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</w:tbl>
    <w:p>
      <w:pPr>
        <w:spacing w:after="120"/>
      </w:pPr>
      <w:r/>
    </w:p>
    <w:p>
      <w:pPr>
        <w:pStyle w:val="Heading2"/>
      </w:pPr>
      <w:r>
        <w:t xml:space="preserve">AI-002: Staff knowledge assistant</w:t>
      </w:r>
    </w:p>
    <w:p>
      <w:pPr>
        <w:spacing w:after="120"/>
      </w:pPr>
      <w:r>
        <w:rPr>
          <w:i/>
          <w:iCs/>
          <w:color w:val="5C6B82"/>
        </w:rPr>
        <w:t xml:space="preserve">Generative with document retrieval; confidential internal data; Medium tier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200"/>
        <w:gridCol w:w="2200"/>
        <w:gridCol w:w="2000"/>
        <w:gridCol w:w="1200"/>
      </w:tblGrid>
      <w:tr>
        <w:trPr>
          <w:tblHeader/>
        </w:trPr>
        <w:tc>
          <w:tcPr>
            <w:tcW w:type="dxa" w:w="20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Role</w:t>
            </w:r>
          </w:p>
        </w:tc>
        <w:tc>
          <w:tcPr>
            <w:tcW w:type="dxa" w:w="22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2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Title / unit</w:t>
            </w:r>
          </w:p>
        </w:tc>
        <w:tc>
          <w:tcPr>
            <w:tcW w:type="dxa" w:w="20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Email</w:t>
            </w:r>
          </w:p>
        </w:tc>
        <w:tc>
          <w:tcPr>
            <w:tcW w:type="dxa" w:w="12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Confirmed (initials, date)</w:t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Business owner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Technical owner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Data owner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Security contact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</w:tbl>
    <w:p>
      <w:pPr>
        <w:spacing w:after="120"/>
      </w:pPr>
      <w:r/>
    </w:p>
    <w:p>
      <w:pPr>
        <w:pStyle w:val="Heading2"/>
      </w:pPr>
      <w:r>
        <w:t xml:space="preserve">AI-003: Public website chatbot</w:t>
      </w:r>
    </w:p>
    <w:p>
      <w:pPr>
        <w:spacing w:after="120"/>
      </w:pPr>
      <w:r>
        <w:rPr>
          <w:i/>
          <w:iCs/>
          <w:color w:val="5C6B82"/>
        </w:rPr>
        <w:t xml:space="preserve">Generative vendor SaaS; external exposure; Medium tier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200"/>
        <w:gridCol w:w="2200"/>
        <w:gridCol w:w="2000"/>
        <w:gridCol w:w="1200"/>
      </w:tblGrid>
      <w:tr>
        <w:trPr>
          <w:tblHeader/>
        </w:trPr>
        <w:tc>
          <w:tcPr>
            <w:tcW w:type="dxa" w:w="20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Role</w:t>
            </w:r>
          </w:p>
        </w:tc>
        <w:tc>
          <w:tcPr>
            <w:tcW w:type="dxa" w:w="22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2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Title / unit</w:t>
            </w:r>
          </w:p>
        </w:tc>
        <w:tc>
          <w:tcPr>
            <w:tcW w:type="dxa" w:w="20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Email</w:t>
            </w:r>
          </w:p>
        </w:tc>
        <w:tc>
          <w:tcPr>
            <w:tcW w:type="dxa" w:w="12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Confirmed (initials, date)</w:t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Business owner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Technical owner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Data owner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Security contact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</w:tbl>
    <w:p>
      <w:pPr>
        <w:spacing w:after="120"/>
      </w:pPr>
      <w:r/>
    </w:p>
    <w:p>
      <w:pPr>
        <w:pStyle w:val="Heading1"/>
      </w:pPr>
      <w:r>
        <w:t xml:space="preserve">Approval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600"/>
        <w:gridCol w:w="2400"/>
        <w:gridCol w:w="1600"/>
      </w:tblGrid>
      <w:tr>
        <w:trPr>
          <w:tblHeader/>
        </w:trPr>
        <w:tc>
          <w:tcPr>
            <w:tcW w:type="dxa" w:w="30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</w:r>
          </w:p>
        </w:tc>
        <w:tc>
          <w:tcPr>
            <w:tcW w:type="dxa" w:w="26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4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Signature</w:t>
            </w:r>
          </w:p>
        </w:tc>
        <w:tc>
          <w:tcPr>
            <w:tcW w:type="dxa" w:w="1600"/>
            <w:shd w:fill="0E1A2B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Nominated by (CIO)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  <w:tr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Endorsed by (Security lead)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</w:r>
          </w:p>
        </w:tc>
      </w:tr>
    </w:tbl>
    <w:p>
      <w:pPr>
        <w:spacing w:after="120"/>
      </w:pPr>
      <w:r/>
    </w:p>
    <w:p>
      <w:pPr>
        <w:spacing w:after="120"/>
      </w:pPr>
      <w:r>
        <w:rPr>
          <w:i/>
          <w:iCs/>
        </w:rPr>
        <w:t xml:space="preserve">Once confirmed, the names are entered in Template 1 (inventory register) and the owners are invited to the first threat assessment workshop.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C6B82"/>
        <w:sz w:val="15"/>
        <w:szCs w:val="15"/>
      </w:rPr>
      <w:t xml:space="preserve">Template by Shahzad Asghar, CISSP, CISM. Free ISO/IEC 27090 course and templates: shahzadasghar.com/learn/iso-27090/templates. Licensed CC BY 4.0: reuse and adapt with attribution.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20" w:after="120"/>
      <w:outlineLvl w:val="0"/>
    </w:pPr>
    <w:rPr>
      <w:b/>
      <w:bCs/>
      <w:color w:val="0E1A2B"/>
      <w:sz w:val="30"/>
      <w:szCs w:val="30"/>
      <w:rFonts w:ascii="Arial" w:cs="Arial" w:eastAsia="Arial" w:hAnsi="Arial"/>
    </w:rPr>
  </w:style>
  <w:style w:type="paragraph" w:styleId="Heading2">
    <w:name w:val="Heading 2"/>
    <w:basedOn w:val="Normal"/>
    <w:next w:val="Normal"/>
    <w:qFormat/>
    <w:pPr>
      <w:spacing w:before="240" w:after="80"/>
      <w:outlineLvl w:val="1"/>
    </w:pPr>
    <w:rPr>
      <w:b/>
      <w:bCs/>
      <w:color w:val="0E1A2B"/>
      <w:sz w:val="24"/>
      <w:szCs w:val="24"/>
      <w:rFonts w:ascii="Arial" w:cs="Arial" w:eastAsia="Arial" w:hAnsi="Arial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2026-10-19T05:42:42.677Z</dcterms:created>
  <dcterms:modified xsi:type="dcterms:W3CDTF">2026-10-19T05:42:42.677Z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