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E1A2B"/>
          <w:sz w:val="40"/>
          <w:szCs w:val="40"/>
        </w:rPr>
        <w:t xml:space="preserve">Purchase request: ISO/IEC 27090:2026</w:t>
      </w:r>
    </w:p>
    <w:p>
      <w:pPr>
        <w:spacing w:after="240"/>
      </w:pPr>
      <w:r>
        <w:rPr>
          <w:i/>
          <w:iCs/>
          <w:color w:val="5C6B82"/>
          <w:sz w:val="21"/>
          <w:szCs w:val="21"/>
        </w:rPr>
        <w:t xml:space="preserve">Companion form to the ISO/IEC 27090 course at shahzadasghar.com: obtain the standard for the security and CIO teams.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00"/>
      </w:tblGrid>
      <w:tr>
        <w:trPr>
          <w:tblHeader/>
        </w:trPr>
        <w:tc>
          <w:tcPr>
            <w:tcW w:type="dxa" w:w="28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68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Document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ISO/IEC 27090:2026, Cybersecurity, Artificial intelligence (AI), Addressing security threats and compromises to AI systems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Publisher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ISO/IEC, technical committee ISO/IEC JTC 1/SC 27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Edition and date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Edition 1, published 14 October 2026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Format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PDF, English, 56 pages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Source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ISO Store: https://www.iso.org/standard/27090 (or the national standards body, which often sells the identical text under its national designation)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Price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i/>
                <w:iCs/>
                <w:color w:val="1F4E9A"/>
              </w:rPr>
              <w:t xml:space="preserve">[enter price from the ISO Store or national body at time of order; single-user and multi-user licences differ]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Licence required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Multi-user licence (or the number of single-user copies) covering the security team and the CIO office: [number] users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Requested by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i/>
                <w:iCs/>
                <w:color w:val="1F4E9A"/>
              </w:rPr>
              <w:t xml:space="preserve">[name, Security lead]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Budget line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i/>
                <w:iCs/>
                <w:color w:val="1F4E9A"/>
              </w:rPr>
              <w:t xml:space="preserve">[cost centre]</w:t>
            </w:r>
          </w:p>
        </w:tc>
      </w:tr>
      <w:tr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Needed by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i/>
                <w:iCs/>
                <w:color w:val="1F4E9A"/>
              </w:rPr>
              <w:t xml:space="preserve">[date, before the first threat assessment workshop]</w:t>
            </w:r>
          </w:p>
        </w:tc>
      </w:tr>
    </w:tbl>
    <w:p>
      <w:pPr>
        <w:spacing w:after="120"/>
      </w:pPr>
      <w:r/>
    </w:p>
    <w:p>
      <w:pPr>
        <w:pStyle w:val="Heading1"/>
      </w:pPr>
      <w:r>
        <w:t xml:space="preserve">Justification</w:t>
      </w:r>
    </w:p>
    <w:p>
      <w:pPr>
        <w:spacing w:after="120"/>
      </w:pPr>
      <w:r>
        <w:t xml:space="preserve">Senior management has adopted ISO/IEC 27090:2026 as the reference for AI security within the existing ISO/IEC 27001 programme. The threat catalogue (clause 6), the mitigation guidance (clause 7) and the life-cycle mapping (Annex A) are needed in full to complete the threat assessments and the control gap analysis. The templates summarise the standard; the purchased text is required to verify clause wording, Annex A and Annex B before the templates are finalised.</w:t>
      </w:r>
    </w:p>
    <w:p>
      <w:pPr>
        <w:pStyle w:val="Heading1"/>
      </w:pPr>
      <w:r>
        <w:t xml:space="preserve">Related standards to consider in the same order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ISO/IEC 27002:2022, if the current copy is older than the 2022 edition (controls referenced throughout the gap analysis).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ISO/IEC 42001:2023, AI management system, if an AI governance programme is planned.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ISO/IEC 22989:2022, AI concepts and terminology (normative reference of ISO/IEC 27090).</w:t>
      </w:r>
    </w:p>
    <w:p>
      <w:pPr>
        <w:pStyle w:val="Heading1"/>
      </w:pPr>
      <w:r>
        <w:t xml:space="preserve">Distribution and licence compliance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Copies are stored in the information security document library with access limited to licensed users.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ISO licences prohibit redistribution; the templates summarise rather than reproduce the text.</w:t>
      </w:r>
    </w:p>
    <w:p>
      <w:pPr>
        <w:pStyle w:val="Heading1"/>
      </w:pPr>
      <w:r>
        <w:t xml:space="preserve">Approval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600"/>
        <w:gridCol w:w="2400"/>
        <w:gridCol w:w="1600"/>
      </w:tblGrid>
      <w:tr>
        <w:trPr>
          <w:tblHeader/>
        </w:trPr>
        <w:tc>
          <w:tcPr>
            <w:tcW w:type="dxa" w:w="30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</w:r>
          </w:p>
        </w:tc>
        <w:tc>
          <w:tcPr>
            <w:tcW w:type="dxa" w:w="26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4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16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Requested by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Approved by (CIO)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Procurement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C6B82"/>
        <w:sz w:val="15"/>
        <w:szCs w:val="15"/>
      </w:rPr>
      <w:t xml:space="preserve">Template by Shahzad Asghar, CISSP, CISM. Free ISO/IEC 27090 course and templates: shahzadasghar.com/learn/iso-27090/templates. Licensed CC BY 4.0: reuse and adapt with attribution.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20" w:after="120"/>
      <w:outlineLvl w:val="0"/>
    </w:pPr>
    <w:rPr>
      <w:b/>
      <w:bCs/>
      <w:color w:val="0E1A2B"/>
      <w:sz w:val="30"/>
      <w:szCs w:val="30"/>
      <w:rFonts w:ascii="Arial" w:cs="Arial" w:eastAsia="Arial" w:hAnsi="Arial"/>
    </w:rPr>
  </w:style>
  <w:style w:type="paragraph" w:styleId="Heading2">
    <w:name w:val="Heading 2"/>
    <w:basedOn w:val="Normal"/>
    <w:next w:val="Normal"/>
    <w:qFormat/>
    <w:pPr>
      <w:spacing w:before="240" w:after="80"/>
      <w:outlineLvl w:val="1"/>
    </w:pPr>
    <w:rPr>
      <w:b/>
      <w:bCs/>
      <w:color w:val="0E1A2B"/>
      <w:sz w:val="24"/>
      <w:szCs w:val="24"/>
      <w:rFonts w:ascii="Arial" w:cs="Arial" w:eastAsia="Arial" w:hAnsi="Arial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2026-10-19T05:42:42.756Z</dcterms:created>
  <dcterms:modified xsi:type="dcterms:W3CDTF">2026-10-19T05:42:42.756Z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