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b/>
          <w:bCs/>
          <w:color w:val="0E1A2B"/>
          <w:sz w:val="40"/>
          <w:szCs w:val="40"/>
        </w:rPr>
        <w:t xml:space="preserve">AI Security Policy</w:t>
      </w:r>
    </w:p>
    <w:p>
      <w:pPr>
        <w:spacing w:after="240"/>
      </w:pPr>
      <w:r>
        <w:rPr>
          <w:i/>
          <w:iCs/>
          <w:color w:val="5C6B82"/>
          <w:sz w:val="21"/>
          <w:szCs w:val="21"/>
        </w:rPr>
        <w:t xml:space="preserve">Template 4 from the free ISO/IEC 27090 course at shahzadasghar.com. Blue italic text is a placeholder to replace.</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6600"/>
      </w:tblGrid>
      <w:tr>
        <w:trPr>
          <w:tblHeader/>
        </w:trPr>
        <w:tc>
          <w:tcPr>
            <w:tcW w:type="dxa" w:w="3000"/>
            <w:shd w:fill="0E1A2B" w:color="auto" w:val="clear"/>
            <w:tcMar>
              <w:top w:type="dxa" w:w="60"/>
              <w:left w:type="dxa" w:w="90"/>
              <w:bottom w:type="dxa" w:w="60"/>
              <w:right w:type="dxa" w:w="90"/>
            </w:tcMar>
          </w:tcPr>
          <w:p>
            <w:pPr>
              <w:spacing w:after="0"/>
            </w:pPr>
            <w:r>
              <w:rPr>
                <w:b/>
                <w:bCs/>
                <w:color w:val="FFFFFF"/>
                <w:sz w:val="19"/>
                <w:szCs w:val="19"/>
              </w:rPr>
              <w:t xml:space="preserve">Document control</w:t>
            </w:r>
          </w:p>
        </w:tc>
        <w:tc>
          <w:tcPr>
            <w:tcW w:type="dxa" w:w="6600"/>
            <w:shd w:fill="0E1A2B" w:color="auto" w:val="clear"/>
            <w:tcMar>
              <w:top w:type="dxa" w:w="60"/>
              <w:left w:type="dxa" w:w="90"/>
              <w:bottom w:type="dxa" w:w="60"/>
              <w:right w:type="dxa" w:w="90"/>
            </w:tcMar>
          </w:tcPr>
          <w:p>
            <w:pPr>
              <w:spacing w:after="0"/>
            </w:pPr>
            <w:r>
              <w:rPr>
                <w:b/>
                <w:bCs/>
                <w:color w:val="FFFFFF"/>
                <w:sz w:val="19"/>
                <w:szCs w:val="19"/>
              </w:rPr>
            </w:r>
          </w:p>
        </w:tc>
      </w:tr>
      <w:tr>
        <w:tc>
          <w:tcPr>
            <w:tcW w:type="dxa" w:w="3000"/>
            <w:tcMar>
              <w:top w:type="dxa" w:w="60"/>
              <w:left w:type="dxa" w:w="90"/>
              <w:bottom w:type="dxa" w:w="60"/>
              <w:right w:type="dxa" w:w="90"/>
            </w:tcMar>
          </w:tcPr>
          <w:p>
            <w:pPr>
              <w:spacing w:after="0"/>
            </w:pPr>
            <w:r>
              <w:rPr>
                <w:b w:val="false"/>
                <w:bCs w:val="false"/>
                <w:sz w:val="19"/>
                <w:szCs w:val="19"/>
              </w:rPr>
              <w:t xml:space="preserve">Document owner</w:t>
            </w:r>
          </w:p>
        </w:tc>
        <w:tc>
          <w:tcPr>
            <w:tcW w:type="dxa" w:w="6600"/>
            <w:tcMar>
              <w:top w:type="dxa" w:w="60"/>
              <w:left w:type="dxa" w:w="90"/>
              <w:bottom w:type="dxa" w:w="60"/>
              <w:right w:type="dxa" w:w="90"/>
            </w:tcMar>
          </w:tcPr>
          <w:p>
            <w:pPr>
              <w:spacing w:after="0"/>
            </w:pPr>
            <w:r>
              <w:rPr>
                <w:i/>
                <w:iCs/>
                <w:color w:val="1F4E9A"/>
              </w:rPr>
              <w:t xml:space="preserve">[Chief Information Officer]</w:t>
            </w:r>
          </w:p>
        </w:tc>
      </w:tr>
      <w:tr>
        <w:tc>
          <w:tcPr>
            <w:tcW w:type="dxa" w:w="3000"/>
            <w:tcMar>
              <w:top w:type="dxa" w:w="60"/>
              <w:left w:type="dxa" w:w="90"/>
              <w:bottom w:type="dxa" w:w="60"/>
              <w:right w:type="dxa" w:w="90"/>
            </w:tcMar>
          </w:tcPr>
          <w:p>
            <w:pPr>
              <w:spacing w:after="0"/>
            </w:pPr>
            <w:r>
              <w:rPr>
                <w:b w:val="false"/>
                <w:bCs w:val="false"/>
                <w:sz w:val="19"/>
                <w:szCs w:val="19"/>
              </w:rPr>
              <w:t xml:space="preserve">Approved by</w:t>
            </w:r>
          </w:p>
        </w:tc>
        <w:tc>
          <w:tcPr>
            <w:tcW w:type="dxa" w:w="6600"/>
            <w:tcMar>
              <w:top w:type="dxa" w:w="60"/>
              <w:left w:type="dxa" w:w="90"/>
              <w:bottom w:type="dxa" w:w="60"/>
              <w:right w:type="dxa" w:w="90"/>
            </w:tcMar>
          </w:tcPr>
          <w:p>
            <w:pPr>
              <w:spacing w:after="0"/>
            </w:pPr>
            <w:r>
              <w:rPr>
                <w:i/>
                <w:iCs/>
                <w:color w:val="1F4E9A"/>
              </w:rPr>
              <w:t xml:space="preserve">[Executive committee / risk committee]</w:t>
            </w:r>
          </w:p>
        </w:tc>
      </w:tr>
      <w:tr>
        <w:tc>
          <w:tcPr>
            <w:tcW w:type="dxa" w:w="3000"/>
            <w:tcMar>
              <w:top w:type="dxa" w:w="60"/>
              <w:left w:type="dxa" w:w="90"/>
              <w:bottom w:type="dxa" w:w="60"/>
              <w:right w:type="dxa" w:w="90"/>
            </w:tcMar>
          </w:tcPr>
          <w:p>
            <w:pPr>
              <w:spacing w:after="0"/>
            </w:pPr>
            <w:r>
              <w:rPr>
                <w:b w:val="false"/>
                <w:bCs w:val="false"/>
                <w:sz w:val="19"/>
                <w:szCs w:val="19"/>
              </w:rPr>
              <w:t xml:space="preserve">Version</w:t>
            </w:r>
          </w:p>
        </w:tc>
        <w:tc>
          <w:tcPr>
            <w:tcW w:type="dxa" w:w="6600"/>
            <w:tcMar>
              <w:top w:type="dxa" w:w="60"/>
              <w:left w:type="dxa" w:w="90"/>
              <w:bottom w:type="dxa" w:w="60"/>
              <w:right w:type="dxa" w:w="90"/>
            </w:tcMar>
          </w:tcPr>
          <w:p>
            <w:pPr>
              <w:spacing w:after="0"/>
            </w:pPr>
            <w:r>
              <w:rPr>
                <w:b w:val="false"/>
                <w:bCs w:val="false"/>
                <w:sz w:val="19"/>
                <w:szCs w:val="19"/>
              </w:rPr>
              <w:t xml:space="preserve">0.1 draft</w:t>
            </w:r>
          </w:p>
        </w:tc>
      </w:tr>
      <w:tr>
        <w:tc>
          <w:tcPr>
            <w:tcW w:type="dxa" w:w="3000"/>
            <w:tcMar>
              <w:top w:type="dxa" w:w="60"/>
              <w:left w:type="dxa" w:w="90"/>
              <w:bottom w:type="dxa" w:w="60"/>
              <w:right w:type="dxa" w:w="90"/>
            </w:tcMar>
          </w:tcPr>
          <w:p>
            <w:pPr>
              <w:spacing w:after="0"/>
            </w:pPr>
            <w:r>
              <w:rPr>
                <w:b w:val="false"/>
                <w:bCs w:val="false"/>
                <w:sz w:val="19"/>
                <w:szCs w:val="19"/>
              </w:rPr>
              <w:t xml:space="preserve">Approval date</w:t>
            </w:r>
          </w:p>
        </w:tc>
        <w:tc>
          <w:tcPr>
            <w:tcW w:type="dxa" w:w="6600"/>
            <w:tcMar>
              <w:top w:type="dxa" w:w="60"/>
              <w:left w:type="dxa" w:w="90"/>
              <w:bottom w:type="dxa" w:w="60"/>
              <w:right w:type="dxa" w:w="90"/>
            </w:tcMar>
          </w:tcPr>
          <w:p>
            <w:pPr>
              <w:spacing w:after="0"/>
            </w:pPr>
            <w:r>
              <w:rPr>
                <w:i/>
                <w:iCs/>
                <w:color w:val="1F4E9A"/>
              </w:rPr>
              <w:t xml:space="preserve">[date]</w:t>
            </w:r>
          </w:p>
        </w:tc>
      </w:tr>
      <w:tr>
        <w:tc>
          <w:tcPr>
            <w:tcW w:type="dxa" w:w="3000"/>
            <w:tcMar>
              <w:top w:type="dxa" w:w="60"/>
              <w:left w:type="dxa" w:w="90"/>
              <w:bottom w:type="dxa" w:w="60"/>
              <w:right w:type="dxa" w:w="90"/>
            </w:tcMar>
          </w:tcPr>
          <w:p>
            <w:pPr>
              <w:spacing w:after="0"/>
            </w:pPr>
            <w:r>
              <w:rPr>
                <w:b w:val="false"/>
                <w:bCs w:val="false"/>
                <w:sz w:val="19"/>
                <w:szCs w:val="19"/>
              </w:rPr>
              <w:t xml:space="preserve">Next review</w:t>
            </w:r>
          </w:p>
        </w:tc>
        <w:tc>
          <w:tcPr>
            <w:tcW w:type="dxa" w:w="6600"/>
            <w:tcMar>
              <w:top w:type="dxa" w:w="60"/>
              <w:left w:type="dxa" w:w="90"/>
              <w:bottom w:type="dxa" w:w="60"/>
              <w:right w:type="dxa" w:w="90"/>
            </w:tcMar>
          </w:tcPr>
          <w:p>
            <w:pPr>
              <w:spacing w:after="0"/>
            </w:pPr>
            <w:r>
              <w:rPr>
                <w:i/>
                <w:iCs/>
                <w:color w:val="1F4E9A"/>
              </w:rPr>
              <w:t xml:space="preserve">[date, at most 12 months after approval]</w:t>
            </w:r>
          </w:p>
        </w:tc>
      </w:tr>
      <w:tr>
        <w:tc>
          <w:tcPr>
            <w:tcW w:type="dxa" w:w="3000"/>
            <w:tcMar>
              <w:top w:type="dxa" w:w="60"/>
              <w:left w:type="dxa" w:w="90"/>
              <w:bottom w:type="dxa" w:w="60"/>
              <w:right w:type="dxa" w:w="90"/>
            </w:tcMar>
          </w:tcPr>
          <w:p>
            <w:pPr>
              <w:spacing w:after="0"/>
            </w:pPr>
            <w:r>
              <w:rPr>
                <w:b w:val="false"/>
                <w:bCs w:val="false"/>
                <w:sz w:val="19"/>
                <w:szCs w:val="19"/>
              </w:rPr>
              <w:t xml:space="preserve">Reference standards</w:t>
            </w:r>
          </w:p>
        </w:tc>
        <w:tc>
          <w:tcPr>
            <w:tcW w:type="dxa" w:w="6600"/>
            <w:tcMar>
              <w:top w:type="dxa" w:w="60"/>
              <w:left w:type="dxa" w:w="90"/>
              <w:bottom w:type="dxa" w:w="60"/>
              <w:right w:type="dxa" w:w="90"/>
            </w:tcMar>
          </w:tcPr>
          <w:p>
            <w:pPr>
              <w:spacing w:after="0"/>
            </w:pPr>
            <w:r>
              <w:rPr>
                <w:b w:val="false"/>
                <w:bCs w:val="false"/>
                <w:sz w:val="19"/>
                <w:szCs w:val="19"/>
              </w:rPr>
              <w:t xml:space="preserve">ISO/IEC 27090:2026; ISO/IEC 27001:2022; ISO/IEC 27002:2022; ISO/IEC 42001:2023; ISO/IEC 22989:2022</w:t>
            </w:r>
          </w:p>
        </w:tc>
      </w:tr>
    </w:tbl>
    <w:p>
      <w:pPr>
        <w:spacing w:after="120"/>
      </w:pPr>
      <w:r/>
    </w:p>
    <w:p>
      <w:pPr>
        <w:pStyle w:val="Heading1"/>
      </w:pPr>
      <w:r>
        <w:t xml:space="preserve">1. Purpose, scope and definitions</w:t>
      </w:r>
    </w:p>
    <w:p>
      <w:pPr>
        <w:spacing w:after="120"/>
      </w:pPr>
      <w:r>
        <w:t xml:space="preserve">This policy sets the minimum security requirements for artificial intelligence (AI) systems that [the organisation] develops, procures or uses. It applies ISO/IEC 27090:2026 guidance within the existing information security management system.</w:t>
      </w:r>
    </w:p>
    <w:p>
      <w:pPr>
        <w:spacing w:after="120"/>
      </w:pPr>
      <w:r>
        <w:t xml:space="preserve">Scope: every AI system and AI feature listed in the AI system inventory (Template 1), including AI capabilities inside vendor software, cloud AI services and internally built models, across the full life cycle from inception to retirement.</w:t>
      </w:r>
    </w:p>
    <w:p>
      <w:pPr>
        <w:spacing w:after="120"/>
      </w:pPr>
      <w:r>
        <w:t xml:space="preserve">Definitions follow ISO/IEC 22989:2022. Key terms: AI system, model, training data, inference, provider, deployer, life cycle stage.</w:t>
      </w:r>
    </w:p>
    <w:p>
      <w:pPr>
        <w:pStyle w:val="Heading1"/>
      </w:pPr>
      <w:r>
        <w:t xml:space="preserve">2. Roles and responsibilities</w:t>
      </w:r>
    </w:p>
    <w:p>
      <w:pPr>
        <w:pStyle w:val="ListParagraph"/>
        <w:numPr>
          <w:ilvl w:val="0"/>
          <w:numId w:val="2"/>
        </w:numPr>
        <w:spacing w:after="60"/>
      </w:pPr>
      <w:r>
        <w:t xml:space="preserve">Chief Information Officer: accountable for the AI inventory, life-cycle ownership and this policy.</w:t>
      </w:r>
    </w:p>
    <w:p>
      <w:pPr>
        <w:pStyle w:val="ListParagraph"/>
        <w:numPr>
          <w:ilvl w:val="0"/>
          <w:numId w:val="2"/>
        </w:numPr>
        <w:spacing w:after="60"/>
      </w:pPr>
      <w:r>
        <w:t xml:space="preserve">Security lead: accountable for AI threat and risk assessment, controls, monitoring and incident response.</w:t>
      </w:r>
    </w:p>
    <w:p>
      <w:pPr>
        <w:pStyle w:val="ListParagraph"/>
        <w:numPr>
          <w:ilvl w:val="0"/>
          <w:numId w:val="2"/>
        </w:numPr>
        <w:spacing w:after="60"/>
      </w:pPr>
      <w:r>
        <w:t xml:space="preserve">AI product owner: responsible for each system's inventory record, acceptance and operation.</w:t>
      </w:r>
    </w:p>
    <w:p>
      <w:pPr>
        <w:pStyle w:val="ListParagraph"/>
        <w:numPr>
          <w:ilvl w:val="0"/>
          <w:numId w:val="2"/>
        </w:numPr>
        <w:spacing w:after="60"/>
      </w:pPr>
      <w:r>
        <w:t xml:space="preserve">Data owner: responsible for provenance, classification and integrity of training and retrieval data.</w:t>
      </w:r>
    </w:p>
    <w:p>
      <w:pPr>
        <w:pStyle w:val="ListParagraph"/>
        <w:numPr>
          <w:ilvl w:val="0"/>
          <w:numId w:val="2"/>
        </w:numPr>
        <w:spacing w:after="60"/>
      </w:pPr>
      <w:r>
        <w:t xml:space="preserve">Legal and privacy: consulted on personal data, regulatory and contractual matters.</w:t>
      </w:r>
    </w:p>
    <w:p>
      <w:pPr>
        <w:spacing w:after="120"/>
      </w:pPr>
      <w:r>
        <w:t xml:space="preserve">Provider duties (model robustness, training data integrity, secure development, documentation of limits) and deployer duties (integration security, access, monitoring, acceptance) are assigned per system in the inventory. The responsibility matrix in Annex A applies.</w:t>
      </w:r>
    </w:p>
    <w:p>
      <w:pPr>
        <w:pStyle w:val="Heading1"/>
      </w:pPr>
      <w:r>
        <w:t xml:space="preserve">3. AI system inventory and risk tiering</w:t>
      </w:r>
    </w:p>
    <w:p>
      <w:pPr>
        <w:pStyle w:val="ListParagraph"/>
        <w:numPr>
          <w:ilvl w:val="0"/>
          <w:numId w:val="2"/>
        </w:numPr>
        <w:spacing w:after="60"/>
      </w:pPr>
      <w:r>
        <w:t xml:space="preserve">Every AI system or feature is registered in the inventory before go-live and reviewed at least annually.</w:t>
      </w:r>
    </w:p>
    <w:p>
      <w:pPr>
        <w:pStyle w:val="ListParagraph"/>
        <w:numPr>
          <w:ilvl w:val="0"/>
          <w:numId w:val="2"/>
        </w:numPr>
        <w:spacing w:after="60"/>
      </w:pPr>
      <w:r>
        <w:t xml:space="preserve">Each entry records purpose, AI type, source, data used, classification, exposure, owners and risk tier.</w:t>
      </w:r>
    </w:p>
    <w:p>
      <w:pPr>
        <w:pStyle w:val="ListParagraph"/>
        <w:numPr>
          <w:ilvl w:val="0"/>
          <w:numId w:val="2"/>
        </w:numPr>
        <w:spacing w:after="60"/>
      </w:pPr>
      <w:r>
        <w:t xml:space="preserve">Risk tier rule: High where personal or confidential data, external exposure, or decisions about people or money are involved; Medium where internal with confidential data; Low where public data and no decisions.</w:t>
      </w:r>
    </w:p>
    <w:p>
      <w:pPr>
        <w:pStyle w:val="Heading1"/>
      </w:pPr>
      <w:r>
        <w:t xml:space="preserve">4. Threat and risk assessment</w:t>
      </w:r>
    </w:p>
    <w:p>
      <w:pPr>
        <w:pStyle w:val="ListParagraph"/>
        <w:numPr>
          <w:ilvl w:val="0"/>
          <w:numId w:val="2"/>
        </w:numPr>
        <w:spacing w:after="60"/>
      </w:pPr>
      <w:r>
        <w:t xml:space="preserve">A threat and risk assessment (Template 2) is completed for every High-tier system before go-live and for Medium-tier systems within one quarter of go-live.</w:t>
      </w:r>
    </w:p>
    <w:p>
      <w:pPr>
        <w:pStyle w:val="ListParagraph"/>
        <w:numPr>
          <w:ilvl w:val="0"/>
          <w:numId w:val="2"/>
        </w:numPr>
        <w:spacing w:after="60"/>
      </w:pPr>
      <w:r>
        <w:t xml:space="preserve">The assessment covers every threat in the ISO/IEC 27090 catalogue: data poisoning, evasion, membership inference, model inversion, model exfiltration, direct model poisoning, sensitive model output, prompt injection, output containing injection attacks, and the Annex B conventional attacks.</w:t>
      </w:r>
    </w:p>
    <w:p>
      <w:pPr>
        <w:pStyle w:val="ListParagraph"/>
        <w:numPr>
          <w:ilvl w:val="0"/>
          <w:numId w:val="2"/>
        </w:numPr>
        <w:spacing w:after="60"/>
      </w:pPr>
      <w:r>
        <w:t xml:space="preserve">Scores of 15 or more are treated before go-live; 8 to 14 within the quarter; below 8 may be accepted with a recorded decision.</w:t>
      </w:r>
    </w:p>
    <w:p>
      <w:pPr>
        <w:pStyle w:val="ListParagraph"/>
        <w:numPr>
          <w:ilvl w:val="0"/>
          <w:numId w:val="2"/>
        </w:numPr>
        <w:spacing w:after="60"/>
      </w:pPr>
      <w:r>
        <w:t xml:space="preserve">Assessments are repeated on retraining, vendor version change, new data source, new tool or integration, after an incident, and at least every 12 months.</w:t>
      </w:r>
    </w:p>
    <w:p>
      <w:pPr>
        <w:pStyle w:val="Heading1"/>
      </w:pPr>
      <w:r>
        <w:t xml:space="preserve">5. Secure development, data governance and supply chain</w:t>
      </w:r>
    </w:p>
    <w:p>
      <w:pPr>
        <w:pStyle w:val="ListParagraph"/>
        <w:numPr>
          <w:ilvl w:val="0"/>
          <w:numId w:val="2"/>
        </w:numPr>
        <w:spacing w:after="60"/>
      </w:pPr>
      <w:r>
        <w:t xml:space="preserve">Training data, test data, pipeline code, notebooks, configurations, model artefacts and retrieval stores are protected assets under ISO/IEC 27002 controls 8.25, 8.31 and 8.4.</w:t>
      </w:r>
    </w:p>
    <w:p>
      <w:pPr>
        <w:pStyle w:val="ListParagraph"/>
        <w:numPr>
          <w:ilvl w:val="0"/>
          <w:numId w:val="2"/>
        </w:numPr>
        <w:spacing w:after="60"/>
      </w:pPr>
      <w:r>
        <w:t xml:space="preserve">Data provenance and integrity are verified before data is used for training, fine-tuning or retrieval. Data snapshots are retained for forensics.</w:t>
      </w:r>
    </w:p>
    <w:p>
      <w:pPr>
        <w:pStyle w:val="ListParagraph"/>
        <w:numPr>
          <w:ilvl w:val="0"/>
          <w:numId w:val="2"/>
        </w:numPr>
        <w:spacing w:after="60"/>
      </w:pPr>
      <w:r>
        <w:t xml:space="preserve">Supplied models, data sets, libraries and MLOps tools are treated as supply-chain components: supplier assessment, contract clauses, signed and versioned artefacts, and an AI bill of materials per system.</w:t>
      </w:r>
    </w:p>
    <w:p>
      <w:pPr>
        <w:pStyle w:val="ListParagraph"/>
        <w:numPr>
          <w:ilvl w:val="0"/>
          <w:numId w:val="2"/>
        </w:numPr>
        <w:spacing w:after="60"/>
      </w:pPr>
      <w:r>
        <w:t xml:space="preserve">Retrieval data in production receives the same protection as training data.</w:t>
      </w:r>
    </w:p>
    <w:p>
      <w:pPr>
        <w:pStyle w:val="Heading1"/>
      </w:pPr>
      <w:r>
        <w:t xml:space="preserve">6. Deployment, access control and rate limiting</w:t>
      </w:r>
    </w:p>
    <w:p>
      <w:pPr>
        <w:pStyle w:val="ListParagraph"/>
        <w:numPr>
          <w:ilvl w:val="0"/>
          <w:numId w:val="2"/>
        </w:numPr>
        <w:spacing w:after="60"/>
      </w:pPr>
      <w:r>
        <w:t xml:space="preserve">Inference endpoints require authentication, per-client rate limits and usage baselines.</w:t>
      </w:r>
    </w:p>
    <w:p>
      <w:pPr>
        <w:pStyle w:val="ListParagraph"/>
        <w:numPr>
          <w:ilvl w:val="0"/>
          <w:numId w:val="2"/>
        </w:numPr>
        <w:spacing w:after="60"/>
      </w:pPr>
      <w:r>
        <w:t xml:space="preserve">Confidence and probability detail in outputs is limited to what the use case needs.</w:t>
      </w:r>
    </w:p>
    <w:p>
      <w:pPr>
        <w:pStyle w:val="ListParagraph"/>
        <w:numPr>
          <w:ilvl w:val="0"/>
          <w:numId w:val="2"/>
        </w:numPr>
        <w:spacing w:after="60"/>
      </w:pPr>
      <w:r>
        <w:t xml:space="preserve">AI agents and tools run with least privilege; actions with financial, access or safety impact require human approval.</w:t>
      </w:r>
    </w:p>
    <w:p>
      <w:pPr>
        <w:pStyle w:val="ListParagraph"/>
        <w:numPr>
          <w:ilvl w:val="0"/>
          <w:numId w:val="2"/>
        </w:numPr>
        <w:spacing w:after="60"/>
      </w:pPr>
      <w:r>
        <w:t xml:space="preserve">Model output is treated as untrusted input by every consuming system.</w:t>
      </w:r>
    </w:p>
    <w:p>
      <w:pPr>
        <w:pStyle w:val="Heading1"/>
      </w:pPr>
      <w:r>
        <w:t xml:space="preserve">7. Logging, monitoring and revalidation after change</w:t>
      </w:r>
    </w:p>
    <w:p>
      <w:pPr>
        <w:pStyle w:val="ListParagraph"/>
        <w:numPr>
          <w:ilvl w:val="0"/>
          <w:numId w:val="2"/>
        </w:numPr>
        <w:spacing w:after="60"/>
      </w:pPr>
      <w:r>
        <w:t xml:space="preserve">Inputs, outputs, user or client identity, time, model version, prompt template version, tool calls and retrieval sources are logged in line with controls 8.15 and 8.16, with retention and protection appropriate to their sensitivity.</w:t>
      </w:r>
    </w:p>
    <w:p>
      <w:pPr>
        <w:pStyle w:val="ListParagraph"/>
        <w:numPr>
          <w:ilvl w:val="0"/>
          <w:numId w:val="2"/>
        </w:numPr>
        <w:spacing w:after="60"/>
      </w:pPr>
      <w:r>
        <w:t xml:space="preserve">Systems are monitored for accuracy drift, anomalous query patterns, injection attempts and sensitive output.</w:t>
      </w:r>
    </w:p>
    <w:p>
      <w:pPr>
        <w:pStyle w:val="ListParagraph"/>
        <w:numPr>
          <w:ilvl w:val="0"/>
          <w:numId w:val="2"/>
        </w:numPr>
        <w:spacing w:after="60"/>
      </w:pPr>
      <w:r>
        <w:t xml:space="preserve">Any change (retraining, vendor update, new data or tool) triggers revalidation of security controls before return to service.</w:t>
      </w:r>
    </w:p>
    <w:p>
      <w:pPr>
        <w:pStyle w:val="Heading1"/>
      </w:pPr>
      <w:r>
        <w:t xml:space="preserve">8. Incident response for AI-specific incidents</w:t>
      </w:r>
    </w:p>
    <w:p>
      <w:pPr>
        <w:pStyle w:val="ListParagraph"/>
        <w:numPr>
          <w:ilvl w:val="0"/>
          <w:numId w:val="2"/>
        </w:numPr>
        <w:spacing w:after="60"/>
      </w:pPr>
      <w:r>
        <w:t xml:space="preserve">Playbooks exist for suspected poisoning, data leakage through outputs, and injection-driven unauthorised actions.</w:t>
      </w:r>
    </w:p>
    <w:p>
      <w:pPr>
        <w:pStyle w:val="ListParagraph"/>
        <w:numPr>
          <w:ilvl w:val="0"/>
          <w:numId w:val="2"/>
        </w:numPr>
        <w:spacing w:after="60"/>
      </w:pPr>
      <w:r>
        <w:t xml:space="preserve">The security lead may remove a model from service pending investigation. Criteria are defined in advance.</w:t>
      </w:r>
    </w:p>
    <w:p>
      <w:pPr>
        <w:pStyle w:val="ListParagraph"/>
        <w:numPr>
          <w:ilvl w:val="0"/>
          <w:numId w:val="2"/>
        </w:numPr>
        <w:spacing w:after="60"/>
      </w:pPr>
      <w:r>
        <w:t xml:space="preserve">AI incidents are reported, recorded and reviewed through the existing incident management process (controls 5.24 to 5.28).</w:t>
      </w:r>
    </w:p>
    <w:p>
      <w:pPr>
        <w:pStyle w:val="Heading1"/>
      </w:pPr>
      <w:r>
        <w:t xml:space="preserve">9. Testing, red teaming and acceptance criteria</w:t>
      </w:r>
    </w:p>
    <w:p>
      <w:pPr>
        <w:pStyle w:val="ListParagraph"/>
        <w:numPr>
          <w:ilvl w:val="0"/>
          <w:numId w:val="2"/>
        </w:numPr>
        <w:spacing w:after="60"/>
      </w:pPr>
      <w:r>
        <w:t xml:space="preserve">High-tier systems undergo adversarial testing and red teaming, including indirect prompt injection, before go-live and at least annually.</w:t>
      </w:r>
    </w:p>
    <w:p>
      <w:pPr>
        <w:pStyle w:val="ListParagraph"/>
        <w:numPr>
          <w:ilvl w:val="0"/>
          <w:numId w:val="2"/>
        </w:numPr>
        <w:spacing w:after="60"/>
      </w:pPr>
      <w:r>
        <w:t xml:space="preserve">Controls are evaluated together, not one at a time, because mitigations can interact and weaken each other.</w:t>
      </w:r>
    </w:p>
    <w:p>
      <w:pPr>
        <w:pStyle w:val="ListParagraph"/>
        <w:numPr>
          <w:ilvl w:val="0"/>
          <w:numId w:val="2"/>
        </w:numPr>
        <w:spacing w:after="60"/>
      </w:pPr>
      <w:r>
        <w:t xml:space="preserve">Acceptance requires a completed assessment, treated high scores, logging in place and documented residual risk.</w:t>
      </w:r>
    </w:p>
    <w:p>
      <w:pPr>
        <w:pStyle w:val="Heading1"/>
      </w:pPr>
      <w:r>
        <w:t xml:space="preserve">10. Review cycle and links to other standards</w:t>
      </w:r>
    </w:p>
    <w:p>
      <w:pPr>
        <w:pStyle w:val="ListParagraph"/>
        <w:numPr>
          <w:ilvl w:val="0"/>
          <w:numId w:val="2"/>
        </w:numPr>
        <w:spacing w:after="60"/>
      </w:pPr>
      <w:r>
        <w:t xml:space="preserve">This policy is reviewed every 12 months or when ISO/IEC 27090, ISO/IEC 27001 or applicable regulation changes.</w:t>
      </w:r>
    </w:p>
    <w:p>
      <w:pPr>
        <w:pStyle w:val="ListParagraph"/>
        <w:numPr>
          <w:ilvl w:val="0"/>
          <w:numId w:val="2"/>
        </w:numPr>
        <w:spacing w:after="60"/>
      </w:pPr>
      <w:r>
        <w:t xml:space="preserve">AI risk is reported quarterly to the risk committee.</w:t>
      </w:r>
    </w:p>
    <w:p>
      <w:pPr>
        <w:pStyle w:val="ListParagraph"/>
        <w:numPr>
          <w:ilvl w:val="0"/>
          <w:numId w:val="2"/>
        </w:numPr>
        <w:spacing w:after="60"/>
      </w:pPr>
      <w:r>
        <w:t xml:space="preserve">This policy operates within the ISMS (ISO/IEC 27001) and, where adopted, the AI management system (ISO/IEC 42001).</w:t>
      </w:r>
    </w:p>
    <w:p>
      <w:pPr>
        <w:pStyle w:val="Heading1"/>
      </w:pPr>
      <w:r>
        <w:t xml:space="preserve">Annex A: Responsibility matrix (RACI)</w:t>
      </w:r>
    </w:p>
    <w:p>
      <w:pPr>
        <w:spacing w:after="120"/>
      </w:pPr>
      <w:r>
        <w:rPr>
          <w:i/>
          <w:iCs/>
        </w:rPr>
        <w:t xml:space="preserve">R responsible, A accountable, C consulted, I informed. One A per row.</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200"/>
        <w:gridCol w:w="1200"/>
        <w:gridCol w:w="1400"/>
        <w:gridCol w:w="1500"/>
        <w:gridCol w:w="1200"/>
        <w:gridCol w:w="1100"/>
      </w:tblGrid>
      <w:tr>
        <w:trPr>
          <w:tblHeader/>
        </w:trPr>
        <w:tc>
          <w:tcPr>
            <w:tcW w:type="dxa" w:w="3200"/>
            <w:shd w:fill="0E1A2B" w:color="auto" w:val="clear"/>
            <w:tcMar>
              <w:top w:type="dxa" w:w="60"/>
              <w:left w:type="dxa" w:w="90"/>
              <w:bottom w:type="dxa" w:w="60"/>
              <w:right w:type="dxa" w:w="90"/>
            </w:tcMar>
          </w:tcPr>
          <w:p>
            <w:pPr>
              <w:spacing w:after="0"/>
            </w:pPr>
            <w:r>
              <w:rPr>
                <w:b/>
                <w:bCs/>
                <w:color w:val="FFFFFF"/>
                <w:sz w:val="19"/>
                <w:szCs w:val="19"/>
              </w:rPr>
              <w:t xml:space="preserve">Activity</w:t>
            </w:r>
          </w:p>
        </w:tc>
        <w:tc>
          <w:tcPr>
            <w:tcW w:type="dxa" w:w="1200"/>
            <w:shd w:fill="0E1A2B" w:color="auto" w:val="clear"/>
            <w:tcMar>
              <w:top w:type="dxa" w:w="60"/>
              <w:left w:type="dxa" w:w="90"/>
              <w:bottom w:type="dxa" w:w="60"/>
              <w:right w:type="dxa" w:w="90"/>
            </w:tcMar>
          </w:tcPr>
          <w:p>
            <w:pPr>
              <w:spacing w:after="0"/>
            </w:pPr>
            <w:r>
              <w:rPr>
                <w:b/>
                <w:bCs/>
                <w:color w:val="FFFFFF"/>
                <w:sz w:val="19"/>
                <w:szCs w:val="19"/>
              </w:rPr>
              <w:t xml:space="preserve">CIO</w:t>
            </w:r>
          </w:p>
        </w:tc>
        <w:tc>
          <w:tcPr>
            <w:tcW w:type="dxa" w:w="1400"/>
            <w:shd w:fill="0E1A2B" w:color="auto" w:val="clear"/>
            <w:tcMar>
              <w:top w:type="dxa" w:w="60"/>
              <w:left w:type="dxa" w:w="90"/>
              <w:bottom w:type="dxa" w:w="60"/>
              <w:right w:type="dxa" w:w="90"/>
            </w:tcMar>
          </w:tcPr>
          <w:p>
            <w:pPr>
              <w:spacing w:after="0"/>
            </w:pPr>
            <w:r>
              <w:rPr>
                <w:b/>
                <w:bCs/>
                <w:color w:val="FFFFFF"/>
                <w:sz w:val="19"/>
                <w:szCs w:val="19"/>
              </w:rPr>
              <w:t xml:space="preserve">Security lead</w:t>
            </w:r>
          </w:p>
        </w:tc>
        <w:tc>
          <w:tcPr>
            <w:tcW w:type="dxa" w:w="1500"/>
            <w:shd w:fill="0E1A2B" w:color="auto" w:val="clear"/>
            <w:tcMar>
              <w:top w:type="dxa" w:w="60"/>
              <w:left w:type="dxa" w:w="90"/>
              <w:bottom w:type="dxa" w:w="60"/>
              <w:right w:type="dxa" w:w="90"/>
            </w:tcMar>
          </w:tcPr>
          <w:p>
            <w:pPr>
              <w:spacing w:after="0"/>
            </w:pPr>
            <w:r>
              <w:rPr>
                <w:b/>
                <w:bCs/>
                <w:color w:val="FFFFFF"/>
                <w:sz w:val="19"/>
                <w:szCs w:val="19"/>
              </w:rPr>
              <w:t xml:space="preserve">AI product owner</w:t>
            </w:r>
          </w:p>
        </w:tc>
        <w:tc>
          <w:tcPr>
            <w:tcW w:type="dxa" w:w="1200"/>
            <w:shd w:fill="0E1A2B" w:color="auto" w:val="clear"/>
            <w:tcMar>
              <w:top w:type="dxa" w:w="60"/>
              <w:left w:type="dxa" w:w="90"/>
              <w:bottom w:type="dxa" w:w="60"/>
              <w:right w:type="dxa" w:w="90"/>
            </w:tcMar>
          </w:tcPr>
          <w:p>
            <w:pPr>
              <w:spacing w:after="0"/>
            </w:pPr>
            <w:r>
              <w:rPr>
                <w:b/>
                <w:bCs/>
                <w:color w:val="FFFFFF"/>
                <w:sz w:val="19"/>
                <w:szCs w:val="19"/>
              </w:rPr>
              <w:t xml:space="preserve">Data owner</w:t>
            </w:r>
          </w:p>
        </w:tc>
        <w:tc>
          <w:tcPr>
            <w:tcW w:type="dxa" w:w="1100"/>
            <w:shd w:fill="0E1A2B" w:color="auto" w:val="clear"/>
            <w:tcMar>
              <w:top w:type="dxa" w:w="60"/>
              <w:left w:type="dxa" w:w="90"/>
              <w:bottom w:type="dxa" w:w="60"/>
              <w:right w:type="dxa" w:w="90"/>
            </w:tcMar>
          </w:tcPr>
          <w:p>
            <w:pPr>
              <w:spacing w:after="0"/>
            </w:pPr>
            <w:r>
              <w:rPr>
                <w:b/>
                <w:bCs/>
                <w:color w:val="FFFFFF"/>
                <w:sz w:val="19"/>
                <w:szCs w:val="19"/>
              </w:rPr>
              <w:t xml:space="preserve">Legal / privacy</w:t>
            </w:r>
          </w:p>
        </w:tc>
      </w:tr>
      <w:tr>
        <w:tc>
          <w:tcPr>
            <w:tcW w:type="dxa" w:w="3200"/>
            <w:tcMar>
              <w:top w:type="dxa" w:w="60"/>
              <w:left w:type="dxa" w:w="90"/>
              <w:bottom w:type="dxa" w:w="60"/>
              <w:right w:type="dxa" w:w="90"/>
            </w:tcMar>
          </w:tcPr>
          <w:p>
            <w:pPr>
              <w:spacing w:after="0"/>
            </w:pPr>
            <w:r>
              <w:rPr>
                <w:b w:val="false"/>
                <w:bCs w:val="false"/>
                <w:sz w:val="19"/>
                <w:szCs w:val="19"/>
              </w:rPr>
              <w:t xml:space="preserve">Maintain AI inventory</w:t>
            </w:r>
          </w:p>
        </w:tc>
        <w:tc>
          <w:tcPr>
            <w:tcW w:type="dxa" w:w="1200"/>
            <w:tcMar>
              <w:top w:type="dxa" w:w="60"/>
              <w:left w:type="dxa" w:w="90"/>
              <w:bottom w:type="dxa" w:w="60"/>
              <w:right w:type="dxa" w:w="90"/>
            </w:tcMar>
          </w:tcPr>
          <w:p>
            <w:pPr>
              <w:spacing w:after="0"/>
            </w:pPr>
            <w:r>
              <w:rPr>
                <w:b w:val="false"/>
                <w:bCs w:val="false"/>
                <w:sz w:val="19"/>
                <w:szCs w:val="19"/>
              </w:rPr>
              <w:t xml:space="preserve">A</w:t>
            </w:r>
          </w:p>
        </w:tc>
        <w:tc>
          <w:tcPr>
            <w:tcW w:type="dxa" w:w="1400"/>
            <w:tcMar>
              <w:top w:type="dxa" w:w="60"/>
              <w:left w:type="dxa" w:w="90"/>
              <w:bottom w:type="dxa" w:w="60"/>
              <w:right w:type="dxa" w:w="90"/>
            </w:tcMar>
          </w:tcPr>
          <w:p>
            <w:pPr>
              <w:spacing w:after="0"/>
            </w:pPr>
            <w:r>
              <w:rPr>
                <w:b w:val="false"/>
                <w:bCs w:val="false"/>
                <w:sz w:val="19"/>
                <w:szCs w:val="19"/>
              </w:rPr>
              <w:t xml:space="preserve">C</w:t>
            </w:r>
          </w:p>
        </w:tc>
        <w:tc>
          <w:tcPr>
            <w:tcW w:type="dxa" w:w="1500"/>
            <w:tcMar>
              <w:top w:type="dxa" w:w="60"/>
              <w:left w:type="dxa" w:w="90"/>
              <w:bottom w:type="dxa" w:w="60"/>
              <w:right w:type="dxa" w:w="90"/>
            </w:tcMar>
          </w:tcPr>
          <w:p>
            <w:pPr>
              <w:spacing w:after="0"/>
            </w:pPr>
            <w:r>
              <w:rPr>
                <w:b w:val="false"/>
                <w:bCs w:val="false"/>
                <w:sz w:val="19"/>
                <w:szCs w:val="19"/>
              </w:rPr>
              <w:t xml:space="preserve">R</w:t>
            </w:r>
          </w:p>
        </w:tc>
        <w:tc>
          <w:tcPr>
            <w:tcW w:type="dxa" w:w="1200"/>
            <w:tcMar>
              <w:top w:type="dxa" w:w="60"/>
              <w:left w:type="dxa" w:w="90"/>
              <w:bottom w:type="dxa" w:w="60"/>
              <w:right w:type="dxa" w:w="90"/>
            </w:tcMar>
          </w:tcPr>
          <w:p>
            <w:pPr>
              <w:spacing w:after="0"/>
            </w:pPr>
            <w:r>
              <w:rPr>
                <w:b w:val="false"/>
                <w:bCs w:val="false"/>
                <w:sz w:val="19"/>
                <w:szCs w:val="19"/>
              </w:rPr>
              <w:t xml:space="preserve">C</w:t>
            </w:r>
          </w:p>
        </w:tc>
        <w:tc>
          <w:tcPr>
            <w:tcW w:type="dxa" w:w="1100"/>
            <w:tcMar>
              <w:top w:type="dxa" w:w="60"/>
              <w:left w:type="dxa" w:w="90"/>
              <w:bottom w:type="dxa" w:w="60"/>
              <w:right w:type="dxa" w:w="90"/>
            </w:tcMar>
          </w:tcPr>
          <w:p>
            <w:pPr>
              <w:spacing w:after="0"/>
            </w:pPr>
            <w:r>
              <w:rPr>
                <w:b w:val="false"/>
                <w:bCs w:val="false"/>
                <w:sz w:val="19"/>
                <w:szCs w:val="19"/>
              </w:rPr>
              <w:t xml:space="preserve">I</w:t>
            </w:r>
          </w:p>
        </w:tc>
      </w:tr>
      <w:tr>
        <w:tc>
          <w:tcPr>
            <w:tcW w:type="dxa" w:w="3200"/>
            <w:tcMar>
              <w:top w:type="dxa" w:w="60"/>
              <w:left w:type="dxa" w:w="90"/>
              <w:bottom w:type="dxa" w:w="60"/>
              <w:right w:type="dxa" w:w="90"/>
            </w:tcMar>
          </w:tcPr>
          <w:p>
            <w:pPr>
              <w:spacing w:after="0"/>
            </w:pPr>
            <w:r>
              <w:rPr>
                <w:b w:val="false"/>
                <w:bCs w:val="false"/>
                <w:sz w:val="19"/>
                <w:szCs w:val="19"/>
              </w:rPr>
              <w:t xml:space="preserve">Threat and risk assessment</w:t>
            </w:r>
          </w:p>
        </w:tc>
        <w:tc>
          <w:tcPr>
            <w:tcW w:type="dxa" w:w="1200"/>
            <w:tcMar>
              <w:top w:type="dxa" w:w="60"/>
              <w:left w:type="dxa" w:w="90"/>
              <w:bottom w:type="dxa" w:w="60"/>
              <w:right w:type="dxa" w:w="90"/>
            </w:tcMar>
          </w:tcPr>
          <w:p>
            <w:pPr>
              <w:spacing w:after="0"/>
            </w:pPr>
            <w:r>
              <w:rPr>
                <w:b w:val="false"/>
                <w:bCs w:val="false"/>
                <w:sz w:val="19"/>
                <w:szCs w:val="19"/>
              </w:rPr>
              <w:t xml:space="preserve">I</w:t>
            </w:r>
          </w:p>
        </w:tc>
        <w:tc>
          <w:tcPr>
            <w:tcW w:type="dxa" w:w="1400"/>
            <w:tcMar>
              <w:top w:type="dxa" w:w="60"/>
              <w:left w:type="dxa" w:w="90"/>
              <w:bottom w:type="dxa" w:w="60"/>
              <w:right w:type="dxa" w:w="90"/>
            </w:tcMar>
          </w:tcPr>
          <w:p>
            <w:pPr>
              <w:spacing w:after="0"/>
            </w:pPr>
            <w:r>
              <w:rPr>
                <w:b w:val="false"/>
                <w:bCs w:val="false"/>
                <w:sz w:val="19"/>
                <w:szCs w:val="19"/>
              </w:rPr>
              <w:t xml:space="preserve">A/R</w:t>
            </w:r>
          </w:p>
        </w:tc>
        <w:tc>
          <w:tcPr>
            <w:tcW w:type="dxa" w:w="1500"/>
            <w:tcMar>
              <w:top w:type="dxa" w:w="60"/>
              <w:left w:type="dxa" w:w="90"/>
              <w:bottom w:type="dxa" w:w="60"/>
              <w:right w:type="dxa" w:w="90"/>
            </w:tcMar>
          </w:tcPr>
          <w:p>
            <w:pPr>
              <w:spacing w:after="0"/>
            </w:pPr>
            <w:r>
              <w:rPr>
                <w:b w:val="false"/>
                <w:bCs w:val="false"/>
                <w:sz w:val="19"/>
                <w:szCs w:val="19"/>
              </w:rPr>
              <w:t xml:space="preserve">C</w:t>
            </w:r>
          </w:p>
        </w:tc>
        <w:tc>
          <w:tcPr>
            <w:tcW w:type="dxa" w:w="1200"/>
            <w:tcMar>
              <w:top w:type="dxa" w:w="60"/>
              <w:left w:type="dxa" w:w="90"/>
              <w:bottom w:type="dxa" w:w="60"/>
              <w:right w:type="dxa" w:w="90"/>
            </w:tcMar>
          </w:tcPr>
          <w:p>
            <w:pPr>
              <w:spacing w:after="0"/>
            </w:pPr>
            <w:r>
              <w:rPr>
                <w:b w:val="false"/>
                <w:bCs w:val="false"/>
                <w:sz w:val="19"/>
                <w:szCs w:val="19"/>
              </w:rPr>
              <w:t xml:space="preserve">C</w:t>
            </w:r>
          </w:p>
        </w:tc>
        <w:tc>
          <w:tcPr>
            <w:tcW w:type="dxa" w:w="1100"/>
            <w:tcMar>
              <w:top w:type="dxa" w:w="60"/>
              <w:left w:type="dxa" w:w="90"/>
              <w:bottom w:type="dxa" w:w="60"/>
              <w:right w:type="dxa" w:w="90"/>
            </w:tcMar>
          </w:tcPr>
          <w:p>
            <w:pPr>
              <w:spacing w:after="0"/>
            </w:pPr>
            <w:r>
              <w:rPr>
                <w:b w:val="false"/>
                <w:bCs w:val="false"/>
                <w:sz w:val="19"/>
                <w:szCs w:val="19"/>
              </w:rPr>
              <w:t xml:space="preserve">C</w:t>
            </w:r>
          </w:p>
        </w:tc>
      </w:tr>
      <w:tr>
        <w:tc>
          <w:tcPr>
            <w:tcW w:type="dxa" w:w="3200"/>
            <w:tcMar>
              <w:top w:type="dxa" w:w="60"/>
              <w:left w:type="dxa" w:w="90"/>
              <w:bottom w:type="dxa" w:w="60"/>
              <w:right w:type="dxa" w:w="90"/>
            </w:tcMar>
          </w:tcPr>
          <w:p>
            <w:pPr>
              <w:spacing w:after="0"/>
            </w:pPr>
            <w:r>
              <w:rPr>
                <w:b w:val="false"/>
                <w:bCs w:val="false"/>
                <w:sz w:val="19"/>
                <w:szCs w:val="19"/>
              </w:rPr>
              <w:t xml:space="preserve">Data provenance and integrity</w:t>
            </w:r>
          </w:p>
        </w:tc>
        <w:tc>
          <w:tcPr>
            <w:tcW w:type="dxa" w:w="1200"/>
            <w:tcMar>
              <w:top w:type="dxa" w:w="60"/>
              <w:left w:type="dxa" w:w="90"/>
              <w:bottom w:type="dxa" w:w="60"/>
              <w:right w:type="dxa" w:w="90"/>
            </w:tcMar>
          </w:tcPr>
          <w:p>
            <w:pPr>
              <w:spacing w:after="0"/>
            </w:pPr>
            <w:r>
              <w:rPr>
                <w:b w:val="false"/>
                <w:bCs w:val="false"/>
                <w:sz w:val="19"/>
                <w:szCs w:val="19"/>
              </w:rPr>
              <w:t xml:space="preserve">I</w:t>
            </w:r>
          </w:p>
        </w:tc>
        <w:tc>
          <w:tcPr>
            <w:tcW w:type="dxa" w:w="1400"/>
            <w:tcMar>
              <w:top w:type="dxa" w:w="60"/>
              <w:left w:type="dxa" w:w="90"/>
              <w:bottom w:type="dxa" w:w="60"/>
              <w:right w:type="dxa" w:w="90"/>
            </w:tcMar>
          </w:tcPr>
          <w:p>
            <w:pPr>
              <w:spacing w:after="0"/>
            </w:pPr>
            <w:r>
              <w:rPr>
                <w:b w:val="false"/>
                <w:bCs w:val="false"/>
                <w:sz w:val="19"/>
                <w:szCs w:val="19"/>
              </w:rPr>
              <w:t xml:space="preserve">C</w:t>
            </w:r>
          </w:p>
        </w:tc>
        <w:tc>
          <w:tcPr>
            <w:tcW w:type="dxa" w:w="1500"/>
            <w:tcMar>
              <w:top w:type="dxa" w:w="60"/>
              <w:left w:type="dxa" w:w="90"/>
              <w:bottom w:type="dxa" w:w="60"/>
              <w:right w:type="dxa" w:w="90"/>
            </w:tcMar>
          </w:tcPr>
          <w:p>
            <w:pPr>
              <w:spacing w:after="0"/>
            </w:pPr>
            <w:r>
              <w:rPr>
                <w:b w:val="false"/>
                <w:bCs w:val="false"/>
                <w:sz w:val="19"/>
                <w:szCs w:val="19"/>
              </w:rPr>
              <w:t xml:space="preserve">C</w:t>
            </w:r>
          </w:p>
        </w:tc>
        <w:tc>
          <w:tcPr>
            <w:tcW w:type="dxa" w:w="1200"/>
            <w:tcMar>
              <w:top w:type="dxa" w:w="60"/>
              <w:left w:type="dxa" w:w="90"/>
              <w:bottom w:type="dxa" w:w="60"/>
              <w:right w:type="dxa" w:w="90"/>
            </w:tcMar>
          </w:tcPr>
          <w:p>
            <w:pPr>
              <w:spacing w:after="0"/>
            </w:pPr>
            <w:r>
              <w:rPr>
                <w:b w:val="false"/>
                <w:bCs w:val="false"/>
                <w:sz w:val="19"/>
                <w:szCs w:val="19"/>
              </w:rPr>
              <w:t xml:space="preserve">A/R</w:t>
            </w:r>
          </w:p>
        </w:tc>
        <w:tc>
          <w:tcPr>
            <w:tcW w:type="dxa" w:w="1100"/>
            <w:tcMar>
              <w:top w:type="dxa" w:w="60"/>
              <w:left w:type="dxa" w:w="90"/>
              <w:bottom w:type="dxa" w:w="60"/>
              <w:right w:type="dxa" w:w="90"/>
            </w:tcMar>
          </w:tcPr>
          <w:p>
            <w:pPr>
              <w:spacing w:after="0"/>
            </w:pPr>
            <w:r>
              <w:rPr>
                <w:b w:val="false"/>
                <w:bCs w:val="false"/>
                <w:sz w:val="19"/>
                <w:szCs w:val="19"/>
              </w:rPr>
              <w:t xml:space="preserve">C</w:t>
            </w:r>
          </w:p>
        </w:tc>
      </w:tr>
      <w:tr>
        <w:tc>
          <w:tcPr>
            <w:tcW w:type="dxa" w:w="3200"/>
            <w:tcMar>
              <w:top w:type="dxa" w:w="60"/>
              <w:left w:type="dxa" w:w="90"/>
              <w:bottom w:type="dxa" w:w="60"/>
              <w:right w:type="dxa" w:w="90"/>
            </w:tcMar>
          </w:tcPr>
          <w:p>
            <w:pPr>
              <w:spacing w:after="0"/>
            </w:pPr>
            <w:r>
              <w:rPr>
                <w:b w:val="false"/>
                <w:bCs w:val="false"/>
                <w:sz w:val="19"/>
                <w:szCs w:val="19"/>
              </w:rPr>
              <w:t xml:space="preserve">Supplier and model assurance</w:t>
            </w:r>
          </w:p>
        </w:tc>
        <w:tc>
          <w:tcPr>
            <w:tcW w:type="dxa" w:w="1200"/>
            <w:tcMar>
              <w:top w:type="dxa" w:w="60"/>
              <w:left w:type="dxa" w:w="90"/>
              <w:bottom w:type="dxa" w:w="60"/>
              <w:right w:type="dxa" w:w="90"/>
            </w:tcMar>
          </w:tcPr>
          <w:p>
            <w:pPr>
              <w:spacing w:after="0"/>
            </w:pPr>
            <w:r>
              <w:rPr>
                <w:b w:val="false"/>
                <w:bCs w:val="false"/>
                <w:sz w:val="19"/>
                <w:szCs w:val="19"/>
              </w:rPr>
              <w:t xml:space="preserve">A</w:t>
            </w:r>
          </w:p>
        </w:tc>
        <w:tc>
          <w:tcPr>
            <w:tcW w:type="dxa" w:w="1400"/>
            <w:tcMar>
              <w:top w:type="dxa" w:w="60"/>
              <w:left w:type="dxa" w:w="90"/>
              <w:bottom w:type="dxa" w:w="60"/>
              <w:right w:type="dxa" w:w="90"/>
            </w:tcMar>
          </w:tcPr>
          <w:p>
            <w:pPr>
              <w:spacing w:after="0"/>
            </w:pPr>
            <w:r>
              <w:rPr>
                <w:b w:val="false"/>
                <w:bCs w:val="false"/>
                <w:sz w:val="19"/>
                <w:szCs w:val="19"/>
              </w:rPr>
              <w:t xml:space="preserve">R</w:t>
            </w:r>
          </w:p>
        </w:tc>
        <w:tc>
          <w:tcPr>
            <w:tcW w:type="dxa" w:w="1500"/>
            <w:tcMar>
              <w:top w:type="dxa" w:w="60"/>
              <w:left w:type="dxa" w:w="90"/>
              <w:bottom w:type="dxa" w:w="60"/>
              <w:right w:type="dxa" w:w="90"/>
            </w:tcMar>
          </w:tcPr>
          <w:p>
            <w:pPr>
              <w:spacing w:after="0"/>
            </w:pPr>
            <w:r>
              <w:rPr>
                <w:b w:val="false"/>
                <w:bCs w:val="false"/>
                <w:sz w:val="19"/>
                <w:szCs w:val="19"/>
              </w:rPr>
              <w:t xml:space="preserve">C</w:t>
            </w:r>
          </w:p>
        </w:tc>
        <w:tc>
          <w:tcPr>
            <w:tcW w:type="dxa" w:w="1200"/>
            <w:tcMar>
              <w:top w:type="dxa" w:w="60"/>
              <w:left w:type="dxa" w:w="90"/>
              <w:bottom w:type="dxa" w:w="60"/>
              <w:right w:type="dxa" w:w="90"/>
            </w:tcMar>
          </w:tcPr>
          <w:p>
            <w:pPr>
              <w:spacing w:after="0"/>
            </w:pPr>
            <w:r>
              <w:rPr>
                <w:b w:val="false"/>
                <w:bCs w:val="false"/>
                <w:sz w:val="19"/>
                <w:szCs w:val="19"/>
              </w:rPr>
              <w:t xml:space="preserve">I</w:t>
            </w:r>
          </w:p>
        </w:tc>
        <w:tc>
          <w:tcPr>
            <w:tcW w:type="dxa" w:w="1100"/>
            <w:tcMar>
              <w:top w:type="dxa" w:w="60"/>
              <w:left w:type="dxa" w:w="90"/>
              <w:bottom w:type="dxa" w:w="60"/>
              <w:right w:type="dxa" w:w="90"/>
            </w:tcMar>
          </w:tcPr>
          <w:p>
            <w:pPr>
              <w:spacing w:after="0"/>
            </w:pPr>
            <w:r>
              <w:rPr>
                <w:b w:val="false"/>
                <w:bCs w:val="false"/>
                <w:sz w:val="19"/>
                <w:szCs w:val="19"/>
              </w:rPr>
              <w:t xml:space="preserve">C</w:t>
            </w:r>
          </w:p>
        </w:tc>
      </w:tr>
      <w:tr>
        <w:tc>
          <w:tcPr>
            <w:tcW w:type="dxa" w:w="3200"/>
            <w:tcMar>
              <w:top w:type="dxa" w:w="60"/>
              <w:left w:type="dxa" w:w="90"/>
              <w:bottom w:type="dxa" w:w="60"/>
              <w:right w:type="dxa" w:w="90"/>
            </w:tcMar>
          </w:tcPr>
          <w:p>
            <w:pPr>
              <w:spacing w:after="0"/>
            </w:pPr>
            <w:r>
              <w:rPr>
                <w:b w:val="false"/>
                <w:bCs w:val="false"/>
                <w:sz w:val="19"/>
                <w:szCs w:val="19"/>
              </w:rPr>
              <w:t xml:space="preserve">Logging, monitoring, detection</w:t>
            </w:r>
          </w:p>
        </w:tc>
        <w:tc>
          <w:tcPr>
            <w:tcW w:type="dxa" w:w="1200"/>
            <w:tcMar>
              <w:top w:type="dxa" w:w="60"/>
              <w:left w:type="dxa" w:w="90"/>
              <w:bottom w:type="dxa" w:w="60"/>
              <w:right w:type="dxa" w:w="90"/>
            </w:tcMar>
          </w:tcPr>
          <w:p>
            <w:pPr>
              <w:spacing w:after="0"/>
            </w:pPr>
            <w:r>
              <w:rPr>
                <w:b w:val="false"/>
                <w:bCs w:val="false"/>
                <w:sz w:val="19"/>
                <w:szCs w:val="19"/>
              </w:rPr>
              <w:t xml:space="preserve">I</w:t>
            </w:r>
          </w:p>
        </w:tc>
        <w:tc>
          <w:tcPr>
            <w:tcW w:type="dxa" w:w="1400"/>
            <w:tcMar>
              <w:top w:type="dxa" w:w="60"/>
              <w:left w:type="dxa" w:w="90"/>
              <w:bottom w:type="dxa" w:w="60"/>
              <w:right w:type="dxa" w:w="90"/>
            </w:tcMar>
          </w:tcPr>
          <w:p>
            <w:pPr>
              <w:spacing w:after="0"/>
            </w:pPr>
            <w:r>
              <w:rPr>
                <w:b w:val="false"/>
                <w:bCs w:val="false"/>
                <w:sz w:val="19"/>
                <w:szCs w:val="19"/>
              </w:rPr>
              <w:t xml:space="preserve">A/R</w:t>
            </w:r>
          </w:p>
        </w:tc>
        <w:tc>
          <w:tcPr>
            <w:tcW w:type="dxa" w:w="1500"/>
            <w:tcMar>
              <w:top w:type="dxa" w:w="60"/>
              <w:left w:type="dxa" w:w="90"/>
              <w:bottom w:type="dxa" w:w="60"/>
              <w:right w:type="dxa" w:w="90"/>
            </w:tcMar>
          </w:tcPr>
          <w:p>
            <w:pPr>
              <w:spacing w:after="0"/>
            </w:pPr>
            <w:r>
              <w:rPr>
                <w:b w:val="false"/>
                <w:bCs w:val="false"/>
                <w:sz w:val="19"/>
                <w:szCs w:val="19"/>
              </w:rPr>
              <w:t xml:space="preserve">C</w:t>
            </w:r>
          </w:p>
        </w:tc>
        <w:tc>
          <w:tcPr>
            <w:tcW w:type="dxa" w:w="1200"/>
            <w:tcMar>
              <w:top w:type="dxa" w:w="60"/>
              <w:left w:type="dxa" w:w="90"/>
              <w:bottom w:type="dxa" w:w="60"/>
              <w:right w:type="dxa" w:w="90"/>
            </w:tcMar>
          </w:tcPr>
          <w:p>
            <w:pPr>
              <w:spacing w:after="0"/>
            </w:pPr>
            <w:r>
              <w:rPr>
                <w:b w:val="false"/>
                <w:bCs w:val="false"/>
                <w:sz w:val="19"/>
                <w:szCs w:val="19"/>
              </w:rPr>
              <w:t xml:space="preserve">I</w:t>
            </w:r>
          </w:p>
        </w:tc>
        <w:tc>
          <w:tcPr>
            <w:tcW w:type="dxa" w:w="1100"/>
            <w:tcMar>
              <w:top w:type="dxa" w:w="60"/>
              <w:left w:type="dxa" w:w="90"/>
              <w:bottom w:type="dxa" w:w="60"/>
              <w:right w:type="dxa" w:w="90"/>
            </w:tcMar>
          </w:tcPr>
          <w:p>
            <w:pPr>
              <w:spacing w:after="0"/>
            </w:pPr>
            <w:r>
              <w:rPr>
                <w:b w:val="false"/>
                <w:bCs w:val="false"/>
                <w:sz w:val="19"/>
                <w:szCs w:val="19"/>
              </w:rPr>
              <w:t xml:space="preserve">C</w:t>
            </w:r>
          </w:p>
        </w:tc>
      </w:tr>
      <w:tr>
        <w:tc>
          <w:tcPr>
            <w:tcW w:type="dxa" w:w="3200"/>
            <w:tcMar>
              <w:top w:type="dxa" w:w="60"/>
              <w:left w:type="dxa" w:w="90"/>
              <w:bottom w:type="dxa" w:w="60"/>
              <w:right w:type="dxa" w:w="90"/>
            </w:tcMar>
          </w:tcPr>
          <w:p>
            <w:pPr>
              <w:spacing w:after="0"/>
            </w:pPr>
            <w:r>
              <w:rPr>
                <w:b w:val="false"/>
                <w:bCs w:val="false"/>
                <w:sz w:val="19"/>
                <w:szCs w:val="19"/>
              </w:rPr>
              <w:t xml:space="preserve">Testing and revalidation</w:t>
            </w:r>
          </w:p>
        </w:tc>
        <w:tc>
          <w:tcPr>
            <w:tcW w:type="dxa" w:w="1200"/>
            <w:tcMar>
              <w:top w:type="dxa" w:w="60"/>
              <w:left w:type="dxa" w:w="90"/>
              <w:bottom w:type="dxa" w:w="60"/>
              <w:right w:type="dxa" w:w="90"/>
            </w:tcMar>
          </w:tcPr>
          <w:p>
            <w:pPr>
              <w:spacing w:after="0"/>
            </w:pPr>
            <w:r>
              <w:rPr>
                <w:b w:val="false"/>
                <w:bCs w:val="false"/>
                <w:sz w:val="19"/>
                <w:szCs w:val="19"/>
              </w:rPr>
              <w:t xml:space="preserve">A</w:t>
            </w:r>
          </w:p>
        </w:tc>
        <w:tc>
          <w:tcPr>
            <w:tcW w:type="dxa" w:w="1400"/>
            <w:tcMar>
              <w:top w:type="dxa" w:w="60"/>
              <w:left w:type="dxa" w:w="90"/>
              <w:bottom w:type="dxa" w:w="60"/>
              <w:right w:type="dxa" w:w="90"/>
            </w:tcMar>
          </w:tcPr>
          <w:p>
            <w:pPr>
              <w:spacing w:after="0"/>
            </w:pPr>
            <w:r>
              <w:rPr>
                <w:b w:val="false"/>
                <w:bCs w:val="false"/>
                <w:sz w:val="19"/>
                <w:szCs w:val="19"/>
              </w:rPr>
              <w:t xml:space="preserve">R</w:t>
            </w:r>
          </w:p>
        </w:tc>
        <w:tc>
          <w:tcPr>
            <w:tcW w:type="dxa" w:w="1500"/>
            <w:tcMar>
              <w:top w:type="dxa" w:w="60"/>
              <w:left w:type="dxa" w:w="90"/>
              <w:bottom w:type="dxa" w:w="60"/>
              <w:right w:type="dxa" w:w="90"/>
            </w:tcMar>
          </w:tcPr>
          <w:p>
            <w:pPr>
              <w:spacing w:after="0"/>
            </w:pPr>
            <w:r>
              <w:rPr>
                <w:b w:val="false"/>
                <w:bCs w:val="false"/>
                <w:sz w:val="19"/>
                <w:szCs w:val="19"/>
              </w:rPr>
              <w:t xml:space="preserve">R</w:t>
            </w:r>
          </w:p>
        </w:tc>
        <w:tc>
          <w:tcPr>
            <w:tcW w:type="dxa" w:w="1200"/>
            <w:tcMar>
              <w:top w:type="dxa" w:w="60"/>
              <w:left w:type="dxa" w:w="90"/>
              <w:bottom w:type="dxa" w:w="60"/>
              <w:right w:type="dxa" w:w="90"/>
            </w:tcMar>
          </w:tcPr>
          <w:p>
            <w:pPr>
              <w:spacing w:after="0"/>
            </w:pPr>
            <w:r>
              <w:rPr>
                <w:b w:val="false"/>
                <w:bCs w:val="false"/>
                <w:sz w:val="19"/>
                <w:szCs w:val="19"/>
              </w:rPr>
              <w:t xml:space="preserve">I</w:t>
            </w:r>
          </w:p>
        </w:tc>
        <w:tc>
          <w:tcPr>
            <w:tcW w:type="dxa" w:w="1100"/>
            <w:tcMar>
              <w:top w:type="dxa" w:w="60"/>
              <w:left w:type="dxa" w:w="90"/>
              <w:bottom w:type="dxa" w:w="60"/>
              <w:right w:type="dxa" w:w="90"/>
            </w:tcMar>
          </w:tcPr>
          <w:p>
            <w:pPr>
              <w:spacing w:after="0"/>
            </w:pPr>
            <w:r>
              <w:rPr>
                <w:b w:val="false"/>
                <w:bCs w:val="false"/>
                <w:sz w:val="19"/>
                <w:szCs w:val="19"/>
              </w:rPr>
              <w:t xml:space="preserve">I</w:t>
            </w:r>
          </w:p>
        </w:tc>
      </w:tr>
      <w:tr>
        <w:tc>
          <w:tcPr>
            <w:tcW w:type="dxa" w:w="3200"/>
            <w:tcMar>
              <w:top w:type="dxa" w:w="60"/>
              <w:left w:type="dxa" w:w="90"/>
              <w:bottom w:type="dxa" w:w="60"/>
              <w:right w:type="dxa" w:w="90"/>
            </w:tcMar>
          </w:tcPr>
          <w:p>
            <w:pPr>
              <w:spacing w:after="0"/>
            </w:pPr>
            <w:r>
              <w:rPr>
                <w:b w:val="false"/>
                <w:bCs w:val="false"/>
                <w:sz w:val="19"/>
                <w:szCs w:val="19"/>
              </w:rPr>
              <w:t xml:space="preserve">Incident response</w:t>
            </w:r>
          </w:p>
        </w:tc>
        <w:tc>
          <w:tcPr>
            <w:tcW w:type="dxa" w:w="1200"/>
            <w:tcMar>
              <w:top w:type="dxa" w:w="60"/>
              <w:left w:type="dxa" w:w="90"/>
              <w:bottom w:type="dxa" w:w="60"/>
              <w:right w:type="dxa" w:w="90"/>
            </w:tcMar>
          </w:tcPr>
          <w:p>
            <w:pPr>
              <w:spacing w:after="0"/>
            </w:pPr>
            <w:r>
              <w:rPr>
                <w:b w:val="false"/>
                <w:bCs w:val="false"/>
                <w:sz w:val="19"/>
                <w:szCs w:val="19"/>
              </w:rPr>
              <w:t xml:space="preserve">I</w:t>
            </w:r>
          </w:p>
        </w:tc>
        <w:tc>
          <w:tcPr>
            <w:tcW w:type="dxa" w:w="1400"/>
            <w:tcMar>
              <w:top w:type="dxa" w:w="60"/>
              <w:left w:type="dxa" w:w="90"/>
              <w:bottom w:type="dxa" w:w="60"/>
              <w:right w:type="dxa" w:w="90"/>
            </w:tcMar>
          </w:tcPr>
          <w:p>
            <w:pPr>
              <w:spacing w:after="0"/>
            </w:pPr>
            <w:r>
              <w:rPr>
                <w:b w:val="false"/>
                <w:bCs w:val="false"/>
                <w:sz w:val="19"/>
                <w:szCs w:val="19"/>
              </w:rPr>
              <w:t xml:space="preserve">A/R</w:t>
            </w:r>
          </w:p>
        </w:tc>
        <w:tc>
          <w:tcPr>
            <w:tcW w:type="dxa" w:w="1500"/>
            <w:tcMar>
              <w:top w:type="dxa" w:w="60"/>
              <w:left w:type="dxa" w:w="90"/>
              <w:bottom w:type="dxa" w:w="60"/>
              <w:right w:type="dxa" w:w="90"/>
            </w:tcMar>
          </w:tcPr>
          <w:p>
            <w:pPr>
              <w:spacing w:after="0"/>
            </w:pPr>
            <w:r>
              <w:rPr>
                <w:b w:val="false"/>
                <w:bCs w:val="false"/>
                <w:sz w:val="19"/>
                <w:szCs w:val="19"/>
              </w:rPr>
              <w:t xml:space="preserve">C</w:t>
            </w:r>
          </w:p>
        </w:tc>
        <w:tc>
          <w:tcPr>
            <w:tcW w:type="dxa" w:w="1200"/>
            <w:tcMar>
              <w:top w:type="dxa" w:w="60"/>
              <w:left w:type="dxa" w:w="90"/>
              <w:bottom w:type="dxa" w:w="60"/>
              <w:right w:type="dxa" w:w="90"/>
            </w:tcMar>
          </w:tcPr>
          <w:p>
            <w:pPr>
              <w:spacing w:after="0"/>
            </w:pPr>
            <w:r>
              <w:rPr>
                <w:b w:val="false"/>
                <w:bCs w:val="false"/>
                <w:sz w:val="19"/>
                <w:szCs w:val="19"/>
              </w:rPr>
              <w:t xml:space="preserve">C</w:t>
            </w:r>
          </w:p>
        </w:tc>
        <w:tc>
          <w:tcPr>
            <w:tcW w:type="dxa" w:w="1100"/>
            <w:tcMar>
              <w:top w:type="dxa" w:w="60"/>
              <w:left w:type="dxa" w:w="90"/>
              <w:bottom w:type="dxa" w:w="60"/>
              <w:right w:type="dxa" w:w="90"/>
            </w:tcMar>
          </w:tcPr>
          <w:p>
            <w:pPr>
              <w:spacing w:after="0"/>
            </w:pPr>
            <w:r>
              <w:rPr>
                <w:b w:val="false"/>
                <w:bCs w:val="false"/>
                <w:sz w:val="19"/>
                <w:szCs w:val="19"/>
              </w:rPr>
              <w:t xml:space="preserve">C</w:t>
            </w:r>
          </w:p>
        </w:tc>
      </w:tr>
      <w:tr>
        <w:tc>
          <w:tcPr>
            <w:tcW w:type="dxa" w:w="3200"/>
            <w:tcMar>
              <w:top w:type="dxa" w:w="60"/>
              <w:left w:type="dxa" w:w="90"/>
              <w:bottom w:type="dxa" w:w="60"/>
              <w:right w:type="dxa" w:w="90"/>
            </w:tcMar>
          </w:tcPr>
          <w:p>
            <w:pPr>
              <w:spacing w:after="0"/>
            </w:pPr>
            <w:r>
              <w:rPr>
                <w:b w:val="false"/>
                <w:bCs w:val="false"/>
                <w:sz w:val="19"/>
                <w:szCs w:val="19"/>
              </w:rPr>
              <w:t xml:space="preserve">Acceptance and go-live decision</w:t>
            </w:r>
          </w:p>
        </w:tc>
        <w:tc>
          <w:tcPr>
            <w:tcW w:type="dxa" w:w="1200"/>
            <w:tcMar>
              <w:top w:type="dxa" w:w="60"/>
              <w:left w:type="dxa" w:w="90"/>
              <w:bottom w:type="dxa" w:w="60"/>
              <w:right w:type="dxa" w:w="90"/>
            </w:tcMar>
          </w:tcPr>
          <w:p>
            <w:pPr>
              <w:spacing w:after="0"/>
            </w:pPr>
            <w:r>
              <w:rPr>
                <w:b w:val="false"/>
                <w:bCs w:val="false"/>
                <w:sz w:val="19"/>
                <w:szCs w:val="19"/>
              </w:rPr>
              <w:t xml:space="preserve">A</w:t>
            </w:r>
          </w:p>
        </w:tc>
        <w:tc>
          <w:tcPr>
            <w:tcW w:type="dxa" w:w="1400"/>
            <w:tcMar>
              <w:top w:type="dxa" w:w="60"/>
              <w:left w:type="dxa" w:w="90"/>
              <w:bottom w:type="dxa" w:w="60"/>
              <w:right w:type="dxa" w:w="90"/>
            </w:tcMar>
          </w:tcPr>
          <w:p>
            <w:pPr>
              <w:spacing w:after="0"/>
            </w:pPr>
            <w:r>
              <w:rPr>
                <w:b w:val="false"/>
                <w:bCs w:val="false"/>
                <w:sz w:val="19"/>
                <w:szCs w:val="19"/>
              </w:rPr>
              <w:t xml:space="preserve">C</w:t>
            </w:r>
          </w:p>
        </w:tc>
        <w:tc>
          <w:tcPr>
            <w:tcW w:type="dxa" w:w="1500"/>
            <w:tcMar>
              <w:top w:type="dxa" w:w="60"/>
              <w:left w:type="dxa" w:w="90"/>
              <w:bottom w:type="dxa" w:w="60"/>
              <w:right w:type="dxa" w:w="90"/>
            </w:tcMar>
          </w:tcPr>
          <w:p>
            <w:pPr>
              <w:spacing w:after="0"/>
            </w:pPr>
            <w:r>
              <w:rPr>
                <w:b w:val="false"/>
                <w:bCs w:val="false"/>
                <w:sz w:val="19"/>
                <w:szCs w:val="19"/>
              </w:rPr>
              <w:t xml:space="preserve">R</w:t>
            </w:r>
          </w:p>
        </w:tc>
        <w:tc>
          <w:tcPr>
            <w:tcW w:type="dxa" w:w="1200"/>
            <w:tcMar>
              <w:top w:type="dxa" w:w="60"/>
              <w:left w:type="dxa" w:w="90"/>
              <w:bottom w:type="dxa" w:w="60"/>
              <w:right w:type="dxa" w:w="90"/>
            </w:tcMar>
          </w:tcPr>
          <w:p>
            <w:pPr>
              <w:spacing w:after="0"/>
            </w:pPr>
            <w:r>
              <w:rPr>
                <w:b w:val="false"/>
                <w:bCs w:val="false"/>
                <w:sz w:val="19"/>
                <w:szCs w:val="19"/>
              </w:rPr>
              <w:t xml:space="preserve">C</w:t>
            </w:r>
          </w:p>
        </w:tc>
        <w:tc>
          <w:tcPr>
            <w:tcW w:type="dxa" w:w="1100"/>
            <w:tcMar>
              <w:top w:type="dxa" w:w="60"/>
              <w:left w:type="dxa" w:w="90"/>
              <w:bottom w:type="dxa" w:w="60"/>
              <w:right w:type="dxa" w:w="90"/>
            </w:tcMar>
          </w:tcPr>
          <w:p>
            <w:pPr>
              <w:spacing w:after="0"/>
            </w:pPr>
            <w:r>
              <w:rPr>
                <w:b w:val="false"/>
                <w:bCs w:val="false"/>
                <w:sz w:val="19"/>
                <w:szCs w:val="19"/>
              </w:rPr>
              <w:t xml:space="preserve">C</w:t>
            </w:r>
          </w:p>
        </w:tc>
      </w:tr>
      <w:tr>
        <w:tc>
          <w:tcPr>
            <w:tcW w:type="dxa" w:w="3200"/>
            <w:tcMar>
              <w:top w:type="dxa" w:w="60"/>
              <w:left w:type="dxa" w:w="90"/>
              <w:bottom w:type="dxa" w:w="60"/>
              <w:right w:type="dxa" w:w="90"/>
            </w:tcMar>
          </w:tcPr>
          <w:p>
            <w:pPr>
              <w:spacing w:after="0"/>
            </w:pPr>
            <w:r>
              <w:rPr>
                <w:b w:val="false"/>
                <w:bCs w:val="false"/>
                <w:sz w:val="19"/>
                <w:szCs w:val="19"/>
              </w:rPr>
              <w:t xml:space="preserve">Policy review</w:t>
            </w:r>
          </w:p>
        </w:tc>
        <w:tc>
          <w:tcPr>
            <w:tcW w:type="dxa" w:w="1200"/>
            <w:tcMar>
              <w:top w:type="dxa" w:w="60"/>
              <w:left w:type="dxa" w:w="90"/>
              <w:bottom w:type="dxa" w:w="60"/>
              <w:right w:type="dxa" w:w="90"/>
            </w:tcMar>
          </w:tcPr>
          <w:p>
            <w:pPr>
              <w:spacing w:after="0"/>
            </w:pPr>
            <w:r>
              <w:rPr>
                <w:b w:val="false"/>
                <w:bCs w:val="false"/>
                <w:sz w:val="19"/>
                <w:szCs w:val="19"/>
              </w:rPr>
              <w:t xml:space="preserve">A/R</w:t>
            </w:r>
          </w:p>
        </w:tc>
        <w:tc>
          <w:tcPr>
            <w:tcW w:type="dxa" w:w="1400"/>
            <w:tcMar>
              <w:top w:type="dxa" w:w="60"/>
              <w:left w:type="dxa" w:w="90"/>
              <w:bottom w:type="dxa" w:w="60"/>
              <w:right w:type="dxa" w:w="90"/>
            </w:tcMar>
          </w:tcPr>
          <w:p>
            <w:pPr>
              <w:spacing w:after="0"/>
            </w:pPr>
            <w:r>
              <w:rPr>
                <w:b w:val="false"/>
                <w:bCs w:val="false"/>
                <w:sz w:val="19"/>
                <w:szCs w:val="19"/>
              </w:rPr>
              <w:t xml:space="preserve">C</w:t>
            </w:r>
          </w:p>
        </w:tc>
        <w:tc>
          <w:tcPr>
            <w:tcW w:type="dxa" w:w="1500"/>
            <w:tcMar>
              <w:top w:type="dxa" w:w="60"/>
              <w:left w:type="dxa" w:w="90"/>
              <w:bottom w:type="dxa" w:w="60"/>
              <w:right w:type="dxa" w:w="90"/>
            </w:tcMar>
          </w:tcPr>
          <w:p>
            <w:pPr>
              <w:spacing w:after="0"/>
            </w:pPr>
            <w:r>
              <w:rPr>
                <w:b w:val="false"/>
                <w:bCs w:val="false"/>
                <w:sz w:val="19"/>
                <w:szCs w:val="19"/>
              </w:rPr>
              <w:t xml:space="preserve">I</w:t>
            </w:r>
          </w:p>
        </w:tc>
        <w:tc>
          <w:tcPr>
            <w:tcW w:type="dxa" w:w="1200"/>
            <w:tcMar>
              <w:top w:type="dxa" w:w="60"/>
              <w:left w:type="dxa" w:w="90"/>
              <w:bottom w:type="dxa" w:w="60"/>
              <w:right w:type="dxa" w:w="90"/>
            </w:tcMar>
          </w:tcPr>
          <w:p>
            <w:pPr>
              <w:spacing w:after="0"/>
            </w:pPr>
            <w:r>
              <w:rPr>
                <w:b w:val="false"/>
                <w:bCs w:val="false"/>
                <w:sz w:val="19"/>
                <w:szCs w:val="19"/>
              </w:rPr>
              <w:t xml:space="preserve">I</w:t>
            </w:r>
          </w:p>
        </w:tc>
        <w:tc>
          <w:tcPr>
            <w:tcW w:type="dxa" w:w="1100"/>
            <w:tcMar>
              <w:top w:type="dxa" w:w="60"/>
              <w:left w:type="dxa" w:w="90"/>
              <w:bottom w:type="dxa" w:w="60"/>
              <w:right w:type="dxa" w:w="90"/>
            </w:tcMar>
          </w:tcPr>
          <w:p>
            <w:pPr>
              <w:spacing w:after="0"/>
            </w:pPr>
            <w:r>
              <w:rPr>
                <w:b w:val="false"/>
                <w:bCs w:val="false"/>
                <w:sz w:val="19"/>
                <w:szCs w:val="19"/>
              </w:rPr>
              <w:t xml:space="preserve">C</w:t>
            </w:r>
          </w:p>
        </w:tc>
      </w:tr>
    </w:tbl>
    <w:p>
      <w:pPr>
        <w:spacing w:after="120"/>
      </w:pPr>
      <w:r/>
    </w:p>
    <w:p>
      <w:pPr>
        <w:pStyle w:val="Heading1"/>
      </w:pPr>
      <w:r>
        <w:t xml:space="preserve">Annex B: Related templates</w:t>
      </w:r>
    </w:p>
    <w:p>
      <w:pPr>
        <w:pStyle w:val="ListParagraph"/>
        <w:numPr>
          <w:ilvl w:val="0"/>
          <w:numId w:val="2"/>
        </w:numPr>
        <w:spacing w:after="60"/>
      </w:pPr>
      <w:r>
        <w:t xml:space="preserve">Template 1: AI system inventory register (Excel)</w:t>
      </w:r>
    </w:p>
    <w:p>
      <w:pPr>
        <w:pStyle w:val="ListParagraph"/>
        <w:numPr>
          <w:ilvl w:val="0"/>
          <w:numId w:val="2"/>
        </w:numPr>
        <w:spacing w:after="60"/>
      </w:pPr>
      <w:r>
        <w:t xml:space="preserve">Template 2: AI threat and risk assessment, one workbook per system (Excel)</w:t>
      </w:r>
    </w:p>
    <w:p>
      <w:pPr>
        <w:pStyle w:val="ListParagraph"/>
        <w:numPr>
          <w:ilvl w:val="0"/>
          <w:numId w:val="2"/>
        </w:numPr>
        <w:spacing w:after="60"/>
      </w:pPr>
      <w:r>
        <w:t xml:space="preserve">Template 3: Control mapping and gap analysis (Excel)</w:t>
      </w:r>
    </w:p>
    <w:sectPr>
      <w:footerReference w:type="default" r:id="rId6"/>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5C6B82"/>
        <w:sz w:val="15"/>
        <w:szCs w:val="15"/>
      </w:rPr>
      <w:t xml:space="preserve">Template by Shahzad Asghar, CISSP, CISM. Free ISO/IEC 27090 course and templates: shahzadasghar.com/learn/iso-27090/templates. Licensed CC BY 4.0: reuse and adapt with attribution.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40" w:hanging="270"/>
      </w:pPr>
    </w:lvl>
  </w:abstractNum>
  <w:abstractNum w:abstractNumId="3" w15:restartNumberingAfterBreak="0">
    <w:multiLevelType w:val="hybridMultilevel"/>
    <w:lvl w:ilvl="0" w15:tentative="1">
      <w:start w:val="1"/>
      <w:numFmt w:val="decimal"/>
      <w:lvlText w:val="%1."/>
      <w:lvlJc w:val="left"/>
      <w:pPr>
        <w:ind w:left="54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1"/>
        <w:szCs w:val="21"/>
        <w:rFonts w:ascii="Arial" w:cs="Arial" w:eastAsia="Arial" w:hAnsi="Arial"/>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Heading1">
    <w:name w:val="Heading 1"/>
    <w:basedOn w:val="Normal"/>
    <w:next w:val="Normal"/>
    <w:qFormat/>
    <w:pPr>
      <w:spacing w:before="320" w:after="120"/>
      <w:outlineLvl w:val="0"/>
    </w:pPr>
    <w:rPr>
      <w:b/>
      <w:bCs/>
      <w:color w:val="0E1A2B"/>
      <w:sz w:val="30"/>
      <w:szCs w:val="30"/>
      <w:rFonts w:ascii="Arial" w:cs="Arial" w:eastAsia="Arial" w:hAnsi="Arial"/>
    </w:rPr>
  </w:style>
  <w:style w:type="paragraph" w:styleId="Heading2">
    <w:name w:val="Heading 2"/>
    <w:basedOn w:val="Normal"/>
    <w:next w:val="Normal"/>
    <w:qFormat/>
    <w:pPr>
      <w:spacing w:before="240" w:after="80"/>
      <w:outlineLvl w:val="1"/>
    </w:pPr>
    <w:rPr>
      <w:b/>
      <w:bCs/>
      <w:color w:val="0E1A2B"/>
      <w:sz w:val="24"/>
      <w:szCs w:val="24"/>
      <w:rFonts w:ascii="Arial" w:cs="Arial" w:eastAsia="Arial" w:hAnsi="Arial"/>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2026-10-19T05:42:42.578Z</dcterms:created>
  <dcterms:modified xsi:type="dcterms:W3CDTF">2026-10-19T05:42:42.579Z</dcterms:modified>
</cp:coreProperties>
</file>

<file path=docProps/custom.xml><?xml version="1.0" encoding="utf-8"?>
<Properties xmlns="http://schemas.openxmlformats.org/officeDocument/2006/custom-properties" xmlns:vt="http://schemas.openxmlformats.org/officeDocument/2006/docPropsVTypes"/>
</file>